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653FB" w14:textId="77777777" w:rsidR="00A55070" w:rsidRPr="00A55070" w:rsidRDefault="00A55070" w:rsidP="00A55070">
      <w:pPr>
        <w:spacing w:after="240" w:line="240" w:lineRule="auto"/>
        <w:jc w:val="center"/>
        <w:rPr>
          <w:rFonts w:ascii="Times New Roman" w:eastAsia="Times New Roman" w:hAnsi="Times New Roman" w:cs="Times New Roman"/>
          <w:b/>
          <w:sz w:val="24"/>
          <w:szCs w:val="24"/>
        </w:rPr>
      </w:pPr>
      <w:r w:rsidRPr="00A55070">
        <w:rPr>
          <w:rFonts w:ascii="Times New Roman" w:eastAsia="Times New Roman" w:hAnsi="Times New Roman" w:cs="Times New Roman"/>
          <w:b/>
          <w:sz w:val="24"/>
          <w:szCs w:val="24"/>
        </w:rPr>
        <w:t>INVITATION TO BID #</w:t>
      </w:r>
      <w:r w:rsidRPr="00A55070">
        <w:rPr>
          <w:rFonts w:ascii="Times New Roman" w:eastAsia="Times New Roman" w:hAnsi="Times New Roman" w:cs="Times New Roman"/>
          <w:b/>
          <w:bCs/>
          <w:sz w:val="24"/>
          <w:szCs w:val="24"/>
        </w:rPr>
        <w:t xml:space="preserve"> I00219</w:t>
      </w:r>
    </w:p>
    <w:p w14:paraId="23B099E7" w14:textId="77777777" w:rsidR="00A55070" w:rsidRPr="00A55070" w:rsidRDefault="00A55070" w:rsidP="00A55070">
      <w:pPr>
        <w:spacing w:after="240" w:line="240" w:lineRule="auto"/>
        <w:jc w:val="center"/>
        <w:rPr>
          <w:rFonts w:ascii="Times New Roman" w:eastAsia="Calibri" w:hAnsi="Times New Roman" w:cs="Times New Roman"/>
          <w:b/>
          <w:color w:val="000000"/>
          <w:sz w:val="24"/>
          <w:szCs w:val="24"/>
        </w:rPr>
      </w:pPr>
      <w:r w:rsidRPr="00A55070">
        <w:rPr>
          <w:rFonts w:ascii="Times New Roman" w:eastAsia="Calibri" w:hAnsi="Times New Roman" w:cs="Times New Roman"/>
          <w:b/>
          <w:color w:val="000000"/>
          <w:sz w:val="24"/>
          <w:szCs w:val="24"/>
        </w:rPr>
        <w:t>DEMOLITION OF BUILDINGS AT STAUNTON CROSSING</w:t>
      </w:r>
    </w:p>
    <w:p w14:paraId="490D04F7" w14:textId="7B07466D" w:rsidR="00A55070" w:rsidRPr="00942969" w:rsidRDefault="00A55070" w:rsidP="00A55070">
      <w:pPr>
        <w:spacing w:after="120" w:line="240" w:lineRule="auto"/>
        <w:jc w:val="center"/>
        <w:rPr>
          <w:rFonts w:ascii="Times New Roman" w:eastAsia="Calibri" w:hAnsi="Times New Roman" w:cs="Times New Roman"/>
          <w:b/>
          <w:bCs/>
          <w:sz w:val="24"/>
          <w:szCs w:val="24"/>
          <w:u w:val="single"/>
        </w:rPr>
      </w:pPr>
      <w:r w:rsidRPr="00942969">
        <w:rPr>
          <w:rFonts w:ascii="Times New Roman" w:eastAsia="Calibri" w:hAnsi="Times New Roman" w:cs="Times New Roman"/>
          <w:b/>
          <w:bCs/>
          <w:sz w:val="24"/>
          <w:szCs w:val="24"/>
          <w:u w:val="single"/>
        </w:rPr>
        <w:t xml:space="preserve">BID SUBMISSION DEADLINE: October </w:t>
      </w:r>
      <w:r w:rsidR="00441712" w:rsidRPr="00942969">
        <w:rPr>
          <w:rFonts w:ascii="Times New Roman" w:eastAsia="Calibri" w:hAnsi="Times New Roman" w:cs="Times New Roman"/>
          <w:b/>
          <w:bCs/>
          <w:sz w:val="24"/>
          <w:szCs w:val="24"/>
          <w:u w:val="single"/>
        </w:rPr>
        <w:t>3</w:t>
      </w:r>
      <w:r w:rsidRPr="00942969">
        <w:rPr>
          <w:rFonts w:ascii="Times New Roman" w:eastAsia="Calibri" w:hAnsi="Times New Roman" w:cs="Times New Roman"/>
          <w:b/>
          <w:bCs/>
          <w:sz w:val="24"/>
          <w:szCs w:val="24"/>
          <w:u w:val="single"/>
        </w:rPr>
        <w:t>1, 2019, 2:00 P.M.</w:t>
      </w:r>
    </w:p>
    <w:p w14:paraId="13844D9A" w14:textId="77777777" w:rsidR="00A55070" w:rsidRPr="00A55070" w:rsidRDefault="00A55070" w:rsidP="00A55070">
      <w:pPr>
        <w:spacing w:after="120" w:line="240" w:lineRule="auto"/>
        <w:jc w:val="both"/>
        <w:rPr>
          <w:rFonts w:ascii="Times New Roman" w:eastAsia="Calibri" w:hAnsi="Times New Roman" w:cs="Times New Roman"/>
          <w:b/>
          <w:sz w:val="24"/>
          <w:szCs w:val="24"/>
          <w:u w:val="single"/>
        </w:rPr>
      </w:pPr>
    </w:p>
    <w:p w14:paraId="7C0648B4" w14:textId="114A613A" w:rsidR="00A55070" w:rsidRPr="00C97F2B" w:rsidRDefault="00A55070" w:rsidP="00C97F2B">
      <w:pPr>
        <w:spacing w:after="120" w:line="240" w:lineRule="auto"/>
        <w:jc w:val="center"/>
        <w:rPr>
          <w:rFonts w:ascii="Times New Roman" w:eastAsia="Calibri" w:hAnsi="Times New Roman" w:cs="Times New Roman"/>
          <w:b/>
          <w:sz w:val="24"/>
          <w:szCs w:val="24"/>
          <w:u w:val="single"/>
        </w:rPr>
      </w:pPr>
      <w:r w:rsidRPr="00A55070">
        <w:rPr>
          <w:rFonts w:ascii="Times New Roman" w:eastAsia="Calibri" w:hAnsi="Times New Roman" w:cs="Times New Roman"/>
          <w:b/>
          <w:sz w:val="24"/>
          <w:szCs w:val="24"/>
          <w:u w:val="single"/>
        </w:rPr>
        <w:t>ADDENDUM #</w:t>
      </w:r>
      <w:r w:rsidR="00441712">
        <w:rPr>
          <w:rFonts w:ascii="Times New Roman" w:eastAsia="Calibri" w:hAnsi="Times New Roman" w:cs="Times New Roman"/>
          <w:b/>
          <w:sz w:val="24"/>
          <w:szCs w:val="24"/>
          <w:u w:val="single"/>
        </w:rPr>
        <w:t>3</w:t>
      </w:r>
      <w:r w:rsidR="00C97F2B">
        <w:rPr>
          <w:rFonts w:ascii="Times New Roman" w:eastAsia="Calibri" w:hAnsi="Times New Roman" w:cs="Times New Roman"/>
          <w:b/>
          <w:sz w:val="24"/>
          <w:szCs w:val="24"/>
          <w:u w:val="single"/>
        </w:rPr>
        <w:t xml:space="preserve"> - </w:t>
      </w:r>
      <w:r w:rsidR="0077616C">
        <w:rPr>
          <w:rFonts w:ascii="Times New Roman" w:eastAsia="Calibri" w:hAnsi="Times New Roman" w:cs="Times New Roman"/>
          <w:b/>
          <w:sz w:val="24"/>
          <w:szCs w:val="24"/>
          <w:u w:val="single"/>
        </w:rPr>
        <w:t xml:space="preserve">DATE: </w:t>
      </w:r>
      <w:r w:rsidR="00441712">
        <w:rPr>
          <w:rFonts w:ascii="Times New Roman" w:eastAsia="Calibri" w:hAnsi="Times New Roman" w:cs="Times New Roman"/>
          <w:b/>
          <w:sz w:val="24"/>
          <w:szCs w:val="24"/>
          <w:u w:val="single"/>
        </w:rPr>
        <w:t>October 4</w:t>
      </w:r>
      <w:r w:rsidRPr="00C97F2B">
        <w:rPr>
          <w:rFonts w:ascii="Times New Roman" w:eastAsia="Calibri" w:hAnsi="Times New Roman" w:cs="Times New Roman"/>
          <w:b/>
          <w:sz w:val="24"/>
          <w:szCs w:val="24"/>
          <w:u w:val="single"/>
        </w:rPr>
        <w:t>, 2019</w:t>
      </w:r>
    </w:p>
    <w:p w14:paraId="18200E57" w14:textId="77777777" w:rsidR="00A55070" w:rsidRPr="00A55070" w:rsidRDefault="00A55070" w:rsidP="00A55070">
      <w:pPr>
        <w:spacing w:after="120" w:line="240" w:lineRule="auto"/>
        <w:jc w:val="both"/>
        <w:rPr>
          <w:rFonts w:ascii="Times New Roman" w:eastAsia="Calibri" w:hAnsi="Times New Roman" w:cs="Times New Roman"/>
          <w:sz w:val="24"/>
          <w:szCs w:val="24"/>
        </w:rPr>
      </w:pPr>
    </w:p>
    <w:p w14:paraId="20D2D748" w14:textId="77777777" w:rsidR="00A55070" w:rsidRPr="00A55070" w:rsidRDefault="00A55070" w:rsidP="00A55070">
      <w:pPr>
        <w:spacing w:after="120" w:line="240" w:lineRule="auto"/>
        <w:jc w:val="both"/>
        <w:rPr>
          <w:rFonts w:ascii="Times New Roman" w:eastAsia="Calibri" w:hAnsi="Times New Roman" w:cs="Times New Roman"/>
          <w:sz w:val="24"/>
          <w:szCs w:val="24"/>
        </w:rPr>
      </w:pPr>
      <w:r w:rsidRPr="00A55070">
        <w:rPr>
          <w:rFonts w:ascii="Times New Roman" w:eastAsia="Calibri" w:hAnsi="Times New Roman" w:cs="Times New Roman"/>
          <w:sz w:val="24"/>
          <w:szCs w:val="24"/>
        </w:rPr>
        <w:t>TO ALL POTENTIAL BIDDERS:</w:t>
      </w:r>
    </w:p>
    <w:p w14:paraId="5399970F" w14:textId="77777777" w:rsidR="00A55070" w:rsidRPr="00A55070" w:rsidRDefault="00A55070" w:rsidP="00A55070">
      <w:pPr>
        <w:spacing w:after="120" w:line="240" w:lineRule="auto"/>
        <w:jc w:val="both"/>
        <w:rPr>
          <w:rFonts w:ascii="Times New Roman" w:eastAsia="Calibri" w:hAnsi="Times New Roman" w:cs="Times New Roman"/>
          <w:sz w:val="24"/>
          <w:szCs w:val="24"/>
        </w:rPr>
      </w:pPr>
      <w:r w:rsidRPr="00A55070">
        <w:rPr>
          <w:rFonts w:ascii="Times New Roman" w:eastAsia="Calibri" w:hAnsi="Times New Roman" w:cs="Times New Roman"/>
          <w:sz w:val="24"/>
          <w:szCs w:val="24"/>
        </w:rPr>
        <w:t xml:space="preserve">The following information is being provided for purposes of clarification or in response to questions received from potential bidders.  In addition to this addendum being posted on the eVA website and City website at the following links, and will be emailed to those potential bidders that attended and signed in at the Pre-Bid Meeting on September 17, 2019.  </w:t>
      </w:r>
    </w:p>
    <w:p w14:paraId="6F79C1EB" w14:textId="6198CB7A" w:rsidR="00517DC6" w:rsidRPr="00871515" w:rsidRDefault="00517DC6" w:rsidP="00A55070">
      <w:pPr>
        <w:numPr>
          <w:ilvl w:val="0"/>
          <w:numId w:val="1"/>
        </w:numPr>
        <w:spacing w:after="120" w:line="240" w:lineRule="auto"/>
        <w:ind w:left="540"/>
        <w:contextualSpacing/>
        <w:jc w:val="both"/>
        <w:rPr>
          <w:rFonts w:ascii="Times New Roman" w:eastAsia="Calibri" w:hAnsi="Times New Roman" w:cs="Times New Roman"/>
          <w:b/>
          <w:bCs/>
          <w:sz w:val="20"/>
          <w:szCs w:val="20"/>
        </w:rPr>
      </w:pPr>
      <w:r w:rsidRPr="00871515">
        <w:rPr>
          <w:rFonts w:ascii="Times New Roman" w:eastAsia="Calibri" w:hAnsi="Times New Roman" w:cs="Times New Roman"/>
          <w:b/>
          <w:bCs/>
          <w:sz w:val="20"/>
          <w:szCs w:val="20"/>
        </w:rPr>
        <w:t>eVA website:</w:t>
      </w:r>
    </w:p>
    <w:p w14:paraId="4644F33D" w14:textId="46055A89" w:rsidR="00A55070" w:rsidRPr="00517DC6" w:rsidRDefault="003023C1" w:rsidP="00517DC6">
      <w:pPr>
        <w:spacing w:after="120" w:line="240" w:lineRule="auto"/>
        <w:ind w:left="540"/>
        <w:contextualSpacing/>
        <w:jc w:val="both"/>
        <w:rPr>
          <w:rFonts w:ascii="Times New Roman" w:eastAsia="Calibri" w:hAnsi="Times New Roman" w:cs="Times New Roman"/>
          <w:sz w:val="20"/>
          <w:szCs w:val="20"/>
        </w:rPr>
      </w:pPr>
      <w:hyperlink r:id="rId7" w:history="1">
        <w:r w:rsidR="00517DC6" w:rsidRPr="00B52D89">
          <w:rPr>
            <w:rStyle w:val="Hyperlink"/>
            <w:rFonts w:ascii="Times New Roman" w:eastAsia="Calibri" w:hAnsi="Times New Roman" w:cs="Times New Roman"/>
            <w:sz w:val="20"/>
            <w:szCs w:val="20"/>
          </w:rPr>
          <w:t>https://m.vendor.epro.cgipdc.com/Vendor/public/VBODetails.jsp?DOC_CD=IFB&amp;DEPT_CD=LA35&amp;BID_INTRNL_NO=152485&amp;BID_NO=I00219&amp;BID_VERS_NO=1</w:t>
        </w:r>
      </w:hyperlink>
    </w:p>
    <w:p w14:paraId="5252329A" w14:textId="77777777" w:rsidR="00517DC6" w:rsidRPr="00A55070" w:rsidRDefault="00517DC6" w:rsidP="00517DC6">
      <w:pPr>
        <w:spacing w:after="120" w:line="240" w:lineRule="auto"/>
        <w:ind w:left="540"/>
        <w:contextualSpacing/>
        <w:jc w:val="both"/>
        <w:rPr>
          <w:rFonts w:ascii="Times New Roman" w:eastAsia="Calibri" w:hAnsi="Times New Roman" w:cs="Times New Roman"/>
          <w:sz w:val="20"/>
          <w:szCs w:val="20"/>
        </w:rPr>
      </w:pPr>
    </w:p>
    <w:p w14:paraId="7BFF08A0" w14:textId="59653F9A" w:rsidR="00517DC6" w:rsidRPr="00871515" w:rsidRDefault="00517DC6" w:rsidP="00A55070">
      <w:pPr>
        <w:numPr>
          <w:ilvl w:val="0"/>
          <w:numId w:val="1"/>
        </w:numPr>
        <w:spacing w:after="120" w:line="240" w:lineRule="auto"/>
        <w:ind w:left="540"/>
        <w:contextualSpacing/>
        <w:jc w:val="both"/>
        <w:rPr>
          <w:rFonts w:ascii="Times New Roman" w:eastAsia="Calibri" w:hAnsi="Times New Roman" w:cs="Times New Roman"/>
          <w:b/>
          <w:bCs/>
          <w:sz w:val="20"/>
          <w:szCs w:val="20"/>
        </w:rPr>
      </w:pPr>
      <w:r w:rsidRPr="00871515">
        <w:rPr>
          <w:rFonts w:ascii="Times New Roman" w:eastAsia="Calibri" w:hAnsi="Times New Roman" w:cs="Times New Roman"/>
          <w:b/>
          <w:bCs/>
          <w:sz w:val="20"/>
          <w:szCs w:val="20"/>
        </w:rPr>
        <w:t>City website:</w:t>
      </w:r>
    </w:p>
    <w:p w14:paraId="5E344E5D" w14:textId="1C616D73" w:rsidR="00A55070" w:rsidRDefault="003023C1" w:rsidP="00E70585">
      <w:pPr>
        <w:spacing w:after="120" w:line="240" w:lineRule="auto"/>
        <w:ind w:left="540"/>
        <w:contextualSpacing/>
        <w:jc w:val="both"/>
        <w:rPr>
          <w:rFonts w:ascii="Times New Roman" w:eastAsia="Calibri" w:hAnsi="Times New Roman" w:cs="Times New Roman"/>
          <w:sz w:val="20"/>
          <w:szCs w:val="20"/>
        </w:rPr>
      </w:pPr>
      <w:hyperlink r:id="rId8" w:history="1">
        <w:r w:rsidR="00871515" w:rsidRPr="00B52D89">
          <w:rPr>
            <w:rStyle w:val="Hyperlink"/>
            <w:rFonts w:ascii="Times New Roman" w:eastAsia="Calibri" w:hAnsi="Times New Roman" w:cs="Times New Roman"/>
            <w:sz w:val="20"/>
            <w:szCs w:val="20"/>
          </w:rPr>
          <w:t>https://www.ci.staunton.va.us/Home/Components/RFP/RFP/123/150</w:t>
        </w:r>
      </w:hyperlink>
    </w:p>
    <w:p w14:paraId="5A950A40" w14:textId="77777777" w:rsidR="00A55070" w:rsidRPr="00A55070" w:rsidRDefault="00A55070" w:rsidP="004D54BF">
      <w:pPr>
        <w:spacing w:after="120" w:line="240" w:lineRule="auto"/>
        <w:ind w:left="540"/>
        <w:contextualSpacing/>
        <w:jc w:val="both"/>
        <w:rPr>
          <w:rFonts w:ascii="Times New Roman" w:eastAsia="Calibri" w:hAnsi="Times New Roman" w:cs="Times New Roman"/>
          <w:sz w:val="20"/>
          <w:szCs w:val="20"/>
        </w:rPr>
      </w:pPr>
    </w:p>
    <w:p w14:paraId="17AF3282" w14:textId="77777777" w:rsidR="00A55070" w:rsidRPr="00A55070" w:rsidRDefault="00A55070" w:rsidP="00A55070">
      <w:pPr>
        <w:spacing w:after="120" w:line="240" w:lineRule="auto"/>
        <w:jc w:val="both"/>
        <w:rPr>
          <w:rFonts w:ascii="Times New Roman" w:eastAsia="Calibri" w:hAnsi="Times New Roman" w:cs="Times New Roman"/>
          <w:sz w:val="24"/>
          <w:szCs w:val="24"/>
          <w:u w:val="single"/>
        </w:rPr>
      </w:pPr>
      <w:r w:rsidRPr="00A55070">
        <w:rPr>
          <w:rFonts w:ascii="Times New Roman" w:eastAsia="Calibri" w:hAnsi="Times New Roman" w:cs="Times New Roman"/>
          <w:sz w:val="24"/>
          <w:szCs w:val="24"/>
          <w:u w:val="single"/>
        </w:rPr>
        <w:t>In the event that any of these specifications conflict with the previous specifications, the specifications in this addendum shall control.  Prepare your bids accordingly:</w:t>
      </w:r>
    </w:p>
    <w:p w14:paraId="37316E35" w14:textId="77777777" w:rsidR="00A55070" w:rsidRPr="00A55070" w:rsidRDefault="00A55070" w:rsidP="00A55070">
      <w:pPr>
        <w:spacing w:after="120" w:line="240" w:lineRule="auto"/>
        <w:jc w:val="both"/>
        <w:rPr>
          <w:rFonts w:ascii="Times New Roman" w:eastAsia="Calibri" w:hAnsi="Times New Roman" w:cs="Times New Roman"/>
          <w:sz w:val="24"/>
          <w:szCs w:val="24"/>
          <w:u w:val="single"/>
        </w:rPr>
      </w:pPr>
    </w:p>
    <w:p w14:paraId="7E5DBDF1" w14:textId="12C6524B" w:rsidR="00A55070" w:rsidRPr="00A55070" w:rsidRDefault="00595DDA" w:rsidP="00A55070">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u w:val="single"/>
        </w:rPr>
        <w:t>Revised</w:t>
      </w:r>
      <w:r w:rsidR="00A55070" w:rsidRPr="00A55070">
        <w:rPr>
          <w:rFonts w:ascii="Times New Roman" w:eastAsia="Calibri" w:hAnsi="Times New Roman" w:cs="Times New Roman"/>
          <w:b/>
          <w:bCs/>
          <w:sz w:val="24"/>
          <w:szCs w:val="24"/>
          <w:u w:val="single"/>
        </w:rPr>
        <w:t xml:space="preserve"> Dates:</w:t>
      </w:r>
    </w:p>
    <w:p w14:paraId="6D4CCCD2" w14:textId="77777777" w:rsidR="00A55070" w:rsidRPr="00A55070" w:rsidRDefault="00A55070" w:rsidP="00A55070">
      <w:pPr>
        <w:spacing w:after="120" w:line="240" w:lineRule="auto"/>
        <w:jc w:val="both"/>
        <w:rPr>
          <w:rFonts w:ascii="Times New Roman" w:eastAsia="Calibri" w:hAnsi="Times New Roman" w:cs="Times New Roman"/>
          <w:sz w:val="24"/>
          <w:szCs w:val="24"/>
        </w:rPr>
      </w:pPr>
      <w:r w:rsidRPr="00A55070">
        <w:rPr>
          <w:rFonts w:ascii="Times New Roman" w:eastAsia="Calibri" w:hAnsi="Times New Roman" w:cs="Times New Roman"/>
          <w:sz w:val="24"/>
          <w:szCs w:val="24"/>
        </w:rPr>
        <w:t>The dates for the deadline for submitting questions and the posting of the addenda and answers are revised as follows:</w:t>
      </w:r>
    </w:p>
    <w:tbl>
      <w:tblPr>
        <w:tblStyle w:val="TableGrid"/>
        <w:tblW w:w="0" w:type="auto"/>
        <w:tblLook w:val="04A0" w:firstRow="1" w:lastRow="0" w:firstColumn="1" w:lastColumn="0" w:noHBand="0" w:noVBand="1"/>
      </w:tblPr>
      <w:tblGrid>
        <w:gridCol w:w="2785"/>
        <w:gridCol w:w="3240"/>
        <w:gridCol w:w="3325"/>
      </w:tblGrid>
      <w:tr w:rsidR="00151576" w:rsidRPr="00A55070" w14:paraId="06BD32C3" w14:textId="77777777" w:rsidTr="00BA4F43">
        <w:trPr>
          <w:trHeight w:val="521"/>
        </w:trPr>
        <w:tc>
          <w:tcPr>
            <w:tcW w:w="2785" w:type="dxa"/>
          </w:tcPr>
          <w:p w14:paraId="693C808F" w14:textId="77777777" w:rsidR="00151576" w:rsidRPr="00A55070" w:rsidRDefault="00151576" w:rsidP="00A55070">
            <w:pPr>
              <w:contextualSpacing/>
              <w:jc w:val="both"/>
              <w:rPr>
                <w:rFonts w:ascii="Times New Roman" w:eastAsia="Calibri" w:hAnsi="Times New Roman" w:cs="Times New Roman"/>
                <w:sz w:val="24"/>
                <w:szCs w:val="24"/>
              </w:rPr>
            </w:pPr>
          </w:p>
        </w:tc>
        <w:tc>
          <w:tcPr>
            <w:tcW w:w="3240" w:type="dxa"/>
            <w:vAlign w:val="center"/>
          </w:tcPr>
          <w:p w14:paraId="511CEB3B" w14:textId="165CF687" w:rsidR="00151576" w:rsidRPr="00C97F2B" w:rsidRDefault="00151576" w:rsidP="00C97F2B">
            <w:pPr>
              <w:contextualSpacing/>
              <w:jc w:val="center"/>
              <w:rPr>
                <w:rFonts w:ascii="Times New Roman" w:eastAsia="Calibri" w:hAnsi="Times New Roman" w:cs="Times New Roman"/>
                <w:bCs/>
                <w:sz w:val="24"/>
                <w:szCs w:val="24"/>
              </w:rPr>
            </w:pPr>
            <w:r w:rsidRPr="00C97F2B">
              <w:rPr>
                <w:rFonts w:ascii="Times New Roman" w:eastAsia="Calibri" w:hAnsi="Times New Roman" w:cs="Times New Roman"/>
                <w:bCs/>
                <w:sz w:val="24"/>
                <w:szCs w:val="24"/>
              </w:rPr>
              <w:t>Initial</w:t>
            </w:r>
          </w:p>
        </w:tc>
        <w:tc>
          <w:tcPr>
            <w:tcW w:w="3325" w:type="dxa"/>
            <w:vAlign w:val="center"/>
          </w:tcPr>
          <w:p w14:paraId="5D7904E2" w14:textId="083094A2" w:rsidR="00151576" w:rsidRPr="00C97F2B" w:rsidRDefault="00151576" w:rsidP="00C97F2B">
            <w:pPr>
              <w:contextualSpacing/>
              <w:jc w:val="center"/>
              <w:rPr>
                <w:rFonts w:ascii="Times New Roman" w:eastAsia="Calibri" w:hAnsi="Times New Roman" w:cs="Times New Roman"/>
                <w:b/>
                <w:bCs/>
                <w:sz w:val="24"/>
                <w:szCs w:val="24"/>
              </w:rPr>
            </w:pPr>
            <w:r w:rsidRPr="00C97F2B">
              <w:rPr>
                <w:rFonts w:ascii="Times New Roman" w:eastAsia="Calibri" w:hAnsi="Times New Roman" w:cs="Times New Roman"/>
                <w:b/>
                <w:bCs/>
                <w:sz w:val="24"/>
                <w:szCs w:val="24"/>
              </w:rPr>
              <w:t>New</w:t>
            </w:r>
          </w:p>
        </w:tc>
      </w:tr>
      <w:tr w:rsidR="00A55070" w:rsidRPr="00A55070" w14:paraId="17C4C80C" w14:textId="77777777" w:rsidTr="00BA4F43">
        <w:trPr>
          <w:trHeight w:val="629"/>
        </w:trPr>
        <w:tc>
          <w:tcPr>
            <w:tcW w:w="2785" w:type="dxa"/>
            <w:vAlign w:val="center"/>
          </w:tcPr>
          <w:p w14:paraId="365A8150" w14:textId="2B23E0C5" w:rsidR="00A55070" w:rsidRPr="00C97F2B" w:rsidRDefault="007A4BB1" w:rsidP="007A4BB1">
            <w:pPr>
              <w:contextualSpacing/>
              <w:rPr>
                <w:rFonts w:ascii="Times New Roman" w:eastAsia="Calibri" w:hAnsi="Times New Roman" w:cs="Times New Roman"/>
                <w:sz w:val="24"/>
                <w:szCs w:val="24"/>
              </w:rPr>
            </w:pPr>
            <w:r>
              <w:rPr>
                <w:rFonts w:ascii="Times New Roman" w:eastAsia="Calibri" w:hAnsi="Times New Roman" w:cs="Times New Roman"/>
                <w:sz w:val="24"/>
                <w:szCs w:val="24"/>
              </w:rPr>
              <w:t>Bid Submission Deadline</w:t>
            </w:r>
          </w:p>
        </w:tc>
        <w:tc>
          <w:tcPr>
            <w:tcW w:w="3240" w:type="dxa"/>
            <w:vAlign w:val="center"/>
          </w:tcPr>
          <w:p w14:paraId="491F98A1" w14:textId="150AC69A" w:rsidR="00A55070" w:rsidRPr="00C97F2B" w:rsidRDefault="007A4BB1" w:rsidP="007A4BB1">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October 17</w:t>
            </w:r>
            <w:r w:rsidR="00C97F2B" w:rsidRPr="00C97F2B">
              <w:rPr>
                <w:rFonts w:ascii="Times New Roman" w:eastAsia="Calibri" w:hAnsi="Times New Roman" w:cs="Times New Roman"/>
                <w:sz w:val="24"/>
                <w:szCs w:val="24"/>
              </w:rPr>
              <w:t xml:space="preserve">, 2019 by </w:t>
            </w:r>
            <w:r>
              <w:rPr>
                <w:rFonts w:ascii="Times New Roman" w:eastAsia="Calibri" w:hAnsi="Times New Roman" w:cs="Times New Roman"/>
                <w:sz w:val="24"/>
                <w:szCs w:val="24"/>
              </w:rPr>
              <w:t>2</w:t>
            </w:r>
            <w:r w:rsidR="00C97F2B" w:rsidRPr="00C97F2B">
              <w:rPr>
                <w:rFonts w:ascii="Times New Roman" w:eastAsia="Calibri" w:hAnsi="Times New Roman" w:cs="Times New Roman"/>
                <w:sz w:val="24"/>
                <w:szCs w:val="24"/>
              </w:rPr>
              <w:t>:00 PM</w:t>
            </w:r>
          </w:p>
        </w:tc>
        <w:tc>
          <w:tcPr>
            <w:tcW w:w="3325" w:type="dxa"/>
            <w:vAlign w:val="center"/>
          </w:tcPr>
          <w:p w14:paraId="5C2F25AA" w14:textId="218457B3" w:rsidR="00A55070" w:rsidRPr="00C97F2B" w:rsidRDefault="00A55070" w:rsidP="007A4BB1">
            <w:pPr>
              <w:contextualSpacing/>
              <w:rPr>
                <w:rFonts w:ascii="Times New Roman" w:eastAsia="Calibri" w:hAnsi="Times New Roman" w:cs="Times New Roman"/>
                <w:b/>
                <w:bCs/>
                <w:sz w:val="24"/>
                <w:szCs w:val="24"/>
              </w:rPr>
            </w:pPr>
            <w:r w:rsidRPr="00C97F2B">
              <w:rPr>
                <w:rFonts w:ascii="Times New Roman" w:eastAsia="Calibri" w:hAnsi="Times New Roman" w:cs="Times New Roman"/>
                <w:b/>
                <w:bCs/>
                <w:sz w:val="24"/>
                <w:szCs w:val="24"/>
              </w:rPr>
              <w:t xml:space="preserve">October </w:t>
            </w:r>
            <w:r w:rsidR="007A4BB1">
              <w:rPr>
                <w:rFonts w:ascii="Times New Roman" w:eastAsia="Calibri" w:hAnsi="Times New Roman" w:cs="Times New Roman"/>
                <w:b/>
                <w:bCs/>
                <w:sz w:val="24"/>
                <w:szCs w:val="24"/>
              </w:rPr>
              <w:t>3</w:t>
            </w:r>
            <w:r w:rsidRPr="00C97F2B">
              <w:rPr>
                <w:rFonts w:ascii="Times New Roman" w:eastAsia="Calibri" w:hAnsi="Times New Roman" w:cs="Times New Roman"/>
                <w:b/>
                <w:bCs/>
                <w:sz w:val="24"/>
                <w:szCs w:val="24"/>
              </w:rPr>
              <w:t xml:space="preserve">1, 2019 by </w:t>
            </w:r>
            <w:r w:rsidR="007A4BB1">
              <w:rPr>
                <w:rFonts w:ascii="Times New Roman" w:eastAsia="Calibri" w:hAnsi="Times New Roman" w:cs="Times New Roman"/>
                <w:b/>
                <w:bCs/>
                <w:sz w:val="24"/>
                <w:szCs w:val="24"/>
              </w:rPr>
              <w:t>2</w:t>
            </w:r>
            <w:r w:rsidRPr="00C97F2B">
              <w:rPr>
                <w:rFonts w:ascii="Times New Roman" w:eastAsia="Calibri" w:hAnsi="Times New Roman" w:cs="Times New Roman"/>
                <w:b/>
                <w:bCs/>
                <w:sz w:val="24"/>
                <w:szCs w:val="24"/>
              </w:rPr>
              <w:t>:00 PM</w:t>
            </w:r>
          </w:p>
        </w:tc>
      </w:tr>
    </w:tbl>
    <w:p w14:paraId="488AC23C" w14:textId="77777777" w:rsidR="00A55070" w:rsidRPr="00A55070" w:rsidRDefault="00A55070" w:rsidP="00A55070">
      <w:pPr>
        <w:spacing w:after="120" w:line="240" w:lineRule="auto"/>
        <w:jc w:val="both"/>
        <w:rPr>
          <w:rFonts w:ascii="Times New Roman" w:eastAsia="Calibri" w:hAnsi="Times New Roman" w:cs="Times New Roman"/>
          <w:sz w:val="24"/>
          <w:szCs w:val="24"/>
        </w:rPr>
      </w:pPr>
    </w:p>
    <w:p w14:paraId="6FF40E40" w14:textId="283AD5F9" w:rsidR="00A55070" w:rsidRPr="00A55070" w:rsidRDefault="00A55070" w:rsidP="00A55070">
      <w:pPr>
        <w:spacing w:after="120" w:line="240" w:lineRule="auto"/>
        <w:jc w:val="both"/>
        <w:rPr>
          <w:rFonts w:ascii="Times New Roman" w:eastAsia="Calibri" w:hAnsi="Times New Roman" w:cs="Times New Roman"/>
          <w:b/>
          <w:bCs/>
          <w:sz w:val="24"/>
          <w:szCs w:val="24"/>
          <w:u w:val="single"/>
        </w:rPr>
      </w:pPr>
      <w:r w:rsidRPr="00A55070">
        <w:rPr>
          <w:rFonts w:ascii="Times New Roman" w:eastAsia="Calibri" w:hAnsi="Times New Roman" w:cs="Times New Roman"/>
          <w:b/>
          <w:bCs/>
          <w:sz w:val="24"/>
          <w:szCs w:val="24"/>
          <w:u w:val="single"/>
        </w:rPr>
        <w:t>Site Access:</w:t>
      </w:r>
    </w:p>
    <w:p w14:paraId="00D3A969" w14:textId="5A2F9A88" w:rsidR="00A55070" w:rsidRPr="00A55070" w:rsidRDefault="00A55070" w:rsidP="00A55070">
      <w:pPr>
        <w:spacing w:after="120" w:line="240" w:lineRule="auto"/>
        <w:jc w:val="both"/>
        <w:rPr>
          <w:rFonts w:ascii="Times New Roman" w:eastAsia="Calibri" w:hAnsi="Times New Roman" w:cs="Times New Roman"/>
          <w:sz w:val="24"/>
          <w:szCs w:val="24"/>
        </w:rPr>
      </w:pPr>
      <w:r w:rsidRPr="00A55070">
        <w:rPr>
          <w:rFonts w:ascii="Times New Roman" w:eastAsia="Calibri" w:hAnsi="Times New Roman" w:cs="Times New Roman"/>
          <w:sz w:val="24"/>
          <w:szCs w:val="24"/>
        </w:rPr>
        <w:t>The site will be open for potential bidders from 8:00 AM to 5:00 PM on the following date. Access to Building#12</w:t>
      </w:r>
      <w:r w:rsidR="00151809">
        <w:rPr>
          <w:rFonts w:ascii="Times New Roman" w:eastAsia="Calibri" w:hAnsi="Times New Roman" w:cs="Times New Roman"/>
          <w:sz w:val="24"/>
          <w:szCs w:val="24"/>
        </w:rPr>
        <w:t>6</w:t>
      </w:r>
      <w:r w:rsidRPr="00A55070">
        <w:rPr>
          <w:rFonts w:ascii="Times New Roman" w:eastAsia="Calibri" w:hAnsi="Times New Roman" w:cs="Times New Roman"/>
          <w:sz w:val="24"/>
          <w:szCs w:val="24"/>
        </w:rPr>
        <w:t xml:space="preserve"> is not allowed unless escorted by City staff.</w:t>
      </w:r>
    </w:p>
    <w:p w14:paraId="70FA652D" w14:textId="77777777" w:rsidR="00871515" w:rsidRDefault="00871515" w:rsidP="00A55070">
      <w:pPr>
        <w:numPr>
          <w:ilvl w:val="0"/>
          <w:numId w:val="2"/>
        </w:numPr>
        <w:spacing w:after="0" w:line="240" w:lineRule="auto"/>
        <w:contextualSpacing/>
        <w:jc w:val="both"/>
        <w:rPr>
          <w:rFonts w:ascii="Times New Roman" w:eastAsia="Calibri" w:hAnsi="Times New Roman" w:cs="Times New Roman"/>
          <w:sz w:val="24"/>
          <w:szCs w:val="24"/>
        </w:rPr>
        <w:sectPr w:rsidR="00871515">
          <w:footerReference w:type="default" r:id="rId9"/>
          <w:pgSz w:w="12240" w:h="15840"/>
          <w:pgMar w:top="1440" w:right="1440" w:bottom="1440" w:left="1440" w:header="720" w:footer="720" w:gutter="0"/>
          <w:cols w:space="720"/>
          <w:docGrid w:linePitch="360"/>
        </w:sectPr>
      </w:pPr>
    </w:p>
    <w:p w14:paraId="38E13668" w14:textId="04463244" w:rsidR="007A4BB1" w:rsidRPr="005C1A88" w:rsidRDefault="005C1A88" w:rsidP="00A55070">
      <w:pPr>
        <w:numPr>
          <w:ilvl w:val="0"/>
          <w:numId w:val="2"/>
        </w:numPr>
        <w:spacing w:after="0" w:line="240" w:lineRule="auto"/>
        <w:contextualSpacing/>
        <w:jc w:val="both"/>
        <w:rPr>
          <w:rFonts w:ascii="Times New Roman" w:eastAsia="Calibri" w:hAnsi="Times New Roman" w:cs="Times New Roman"/>
          <w:b/>
          <w:sz w:val="24"/>
          <w:szCs w:val="24"/>
        </w:rPr>
      </w:pPr>
      <w:r w:rsidRPr="005C1A88">
        <w:rPr>
          <w:rFonts w:ascii="Times New Roman" w:eastAsia="Calibri" w:hAnsi="Times New Roman" w:cs="Times New Roman"/>
          <w:b/>
          <w:sz w:val="24"/>
          <w:szCs w:val="24"/>
        </w:rPr>
        <w:t>The w</w:t>
      </w:r>
      <w:r w:rsidR="007A4BB1" w:rsidRPr="005C1A88">
        <w:rPr>
          <w:rFonts w:ascii="Times New Roman" w:eastAsia="Calibri" w:hAnsi="Times New Roman" w:cs="Times New Roman"/>
          <w:b/>
          <w:sz w:val="24"/>
          <w:szCs w:val="24"/>
        </w:rPr>
        <w:t>eek of Monday, October</w:t>
      </w:r>
      <w:r w:rsidR="00942969" w:rsidRPr="005C1A88">
        <w:rPr>
          <w:rFonts w:ascii="Times New Roman" w:eastAsia="Calibri" w:hAnsi="Times New Roman" w:cs="Times New Roman"/>
          <w:b/>
          <w:sz w:val="24"/>
          <w:szCs w:val="24"/>
        </w:rPr>
        <w:t xml:space="preserve"> </w:t>
      </w:r>
      <w:r w:rsidR="007A4BB1" w:rsidRPr="005C1A88">
        <w:rPr>
          <w:rFonts w:ascii="Times New Roman" w:eastAsia="Calibri" w:hAnsi="Times New Roman" w:cs="Times New Roman"/>
          <w:b/>
          <w:sz w:val="24"/>
          <w:szCs w:val="24"/>
        </w:rPr>
        <w:t xml:space="preserve">7, 2019 through </w:t>
      </w:r>
      <w:r w:rsidR="00A55070" w:rsidRPr="005C1A88">
        <w:rPr>
          <w:rFonts w:ascii="Times New Roman" w:eastAsia="Calibri" w:hAnsi="Times New Roman" w:cs="Times New Roman"/>
          <w:b/>
          <w:sz w:val="24"/>
          <w:szCs w:val="24"/>
        </w:rPr>
        <w:t xml:space="preserve">Friday, </w:t>
      </w:r>
      <w:r w:rsidR="007A4BB1" w:rsidRPr="005C1A88">
        <w:rPr>
          <w:rFonts w:ascii="Times New Roman" w:eastAsia="Calibri" w:hAnsi="Times New Roman" w:cs="Times New Roman"/>
          <w:b/>
          <w:sz w:val="24"/>
          <w:szCs w:val="24"/>
        </w:rPr>
        <w:t>October 11,</w:t>
      </w:r>
      <w:r w:rsidR="00A55070" w:rsidRPr="005C1A88">
        <w:rPr>
          <w:rFonts w:ascii="Times New Roman" w:eastAsia="Calibri" w:hAnsi="Times New Roman" w:cs="Times New Roman"/>
          <w:b/>
          <w:sz w:val="24"/>
          <w:szCs w:val="24"/>
        </w:rPr>
        <w:t xml:space="preserve"> 2019</w:t>
      </w:r>
    </w:p>
    <w:p w14:paraId="49E86A46" w14:textId="77777777" w:rsidR="00DB4B3B" w:rsidRDefault="00DB4B3B" w:rsidP="00DB4B3B">
      <w:pPr>
        <w:spacing w:after="0" w:line="240" w:lineRule="auto"/>
        <w:contextualSpacing/>
        <w:jc w:val="both"/>
        <w:rPr>
          <w:rFonts w:ascii="Times New Roman" w:eastAsia="Calibri" w:hAnsi="Times New Roman" w:cs="Times New Roman"/>
          <w:sz w:val="24"/>
          <w:szCs w:val="24"/>
        </w:rPr>
      </w:pPr>
    </w:p>
    <w:p w14:paraId="6DCB5054" w14:textId="77777777" w:rsidR="003023C1" w:rsidRDefault="003023C1" w:rsidP="008C409F">
      <w:pPr>
        <w:spacing w:after="120" w:line="240" w:lineRule="auto"/>
        <w:jc w:val="both"/>
        <w:rPr>
          <w:rFonts w:ascii="Times New Roman" w:eastAsia="Calibri" w:hAnsi="Times New Roman" w:cs="Times New Roman"/>
          <w:b/>
          <w:bCs/>
          <w:sz w:val="24"/>
          <w:szCs w:val="24"/>
          <w:u w:val="single"/>
        </w:rPr>
      </w:pPr>
    </w:p>
    <w:p w14:paraId="3E07F6FD" w14:textId="77777777" w:rsidR="003023C1" w:rsidRDefault="003023C1">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br w:type="page"/>
      </w:r>
    </w:p>
    <w:p w14:paraId="5D2F7A16" w14:textId="2BD5A42C" w:rsidR="008C409F" w:rsidRPr="00A55070" w:rsidRDefault="008C409F" w:rsidP="008C409F">
      <w:pPr>
        <w:spacing w:after="120" w:line="240" w:lineRule="auto"/>
        <w:jc w:val="both"/>
        <w:rPr>
          <w:rFonts w:ascii="Times New Roman" w:eastAsia="Calibri" w:hAnsi="Times New Roman" w:cs="Times New Roman"/>
          <w:sz w:val="24"/>
          <w:szCs w:val="24"/>
        </w:rPr>
      </w:pPr>
      <w:bookmarkStart w:id="0" w:name="_GoBack"/>
      <w:bookmarkEnd w:id="0"/>
      <w:r>
        <w:rPr>
          <w:rFonts w:ascii="Times New Roman" w:eastAsia="Calibri" w:hAnsi="Times New Roman" w:cs="Times New Roman"/>
          <w:b/>
          <w:bCs/>
          <w:sz w:val="24"/>
          <w:szCs w:val="24"/>
          <w:u w:val="single"/>
        </w:rPr>
        <w:lastRenderedPageBreak/>
        <w:t>Revised</w:t>
      </w:r>
      <w:r w:rsidRPr="00A55070">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Bid Form</w:t>
      </w:r>
      <w:r w:rsidRPr="00A55070">
        <w:rPr>
          <w:rFonts w:ascii="Times New Roman" w:eastAsia="Calibri" w:hAnsi="Times New Roman" w:cs="Times New Roman"/>
          <w:b/>
          <w:bCs/>
          <w:sz w:val="24"/>
          <w:szCs w:val="24"/>
          <w:u w:val="single"/>
        </w:rPr>
        <w:t>:</w:t>
      </w:r>
    </w:p>
    <w:p w14:paraId="016B8B18" w14:textId="2685B6AB" w:rsidR="008C409F" w:rsidRPr="00A55070" w:rsidRDefault="00693381" w:rsidP="008C409F">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Buildings 114 and 125 are being substituted for Buildings 123 and 124</w:t>
      </w:r>
      <w:r w:rsidR="008C409F">
        <w:rPr>
          <w:rFonts w:ascii="Times New Roman" w:eastAsia="Calibri" w:hAnsi="Times New Roman" w:cs="Times New Roman"/>
          <w:sz w:val="24"/>
          <w:szCs w:val="24"/>
        </w:rPr>
        <w:t xml:space="preserve"> in Options A, B, C, and D,</w:t>
      </w:r>
      <w:r w:rsidR="00BA4F43">
        <w:rPr>
          <w:rFonts w:ascii="Times New Roman" w:eastAsia="Calibri" w:hAnsi="Times New Roman" w:cs="Times New Roman"/>
          <w:sz w:val="24"/>
          <w:szCs w:val="24"/>
        </w:rPr>
        <w:t xml:space="preserve"> as identified on Pages 5 and 6 in the </w:t>
      </w:r>
      <w:r w:rsidR="005C1A88">
        <w:rPr>
          <w:rFonts w:ascii="Times New Roman" w:eastAsia="Calibri" w:hAnsi="Times New Roman" w:cs="Times New Roman"/>
          <w:sz w:val="24"/>
          <w:szCs w:val="24"/>
        </w:rPr>
        <w:t>original</w:t>
      </w:r>
      <w:r w:rsidR="00BA4F43">
        <w:rPr>
          <w:rFonts w:ascii="Times New Roman" w:eastAsia="Calibri" w:hAnsi="Times New Roman" w:cs="Times New Roman"/>
          <w:sz w:val="24"/>
          <w:szCs w:val="24"/>
        </w:rPr>
        <w:t xml:space="preserve"> ITB, </w:t>
      </w:r>
      <w:r w:rsidR="008C409F">
        <w:rPr>
          <w:rFonts w:ascii="Times New Roman" w:eastAsia="Calibri" w:hAnsi="Times New Roman" w:cs="Times New Roman"/>
          <w:sz w:val="24"/>
          <w:szCs w:val="24"/>
        </w:rPr>
        <w:t xml:space="preserve">as follows and in </w:t>
      </w:r>
      <w:r w:rsidR="008C409F" w:rsidRPr="005C1A88">
        <w:rPr>
          <w:rFonts w:ascii="Times New Roman" w:eastAsia="Calibri" w:hAnsi="Times New Roman" w:cs="Times New Roman"/>
          <w:b/>
          <w:sz w:val="24"/>
          <w:szCs w:val="24"/>
        </w:rPr>
        <w:t>Appendix H</w:t>
      </w:r>
      <w:r w:rsidR="008C409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bl>
      <w:tblPr>
        <w:tblStyle w:val="TableGrid"/>
        <w:tblW w:w="0" w:type="auto"/>
        <w:tblLook w:val="04A0" w:firstRow="1" w:lastRow="0" w:firstColumn="1" w:lastColumn="0" w:noHBand="0" w:noVBand="1"/>
      </w:tblPr>
      <w:tblGrid>
        <w:gridCol w:w="1255"/>
        <w:gridCol w:w="4050"/>
        <w:gridCol w:w="4045"/>
      </w:tblGrid>
      <w:tr w:rsidR="008C409F" w:rsidRPr="00A55070" w14:paraId="0C994894" w14:textId="77777777" w:rsidTr="00693381">
        <w:trPr>
          <w:cantSplit/>
          <w:trHeight w:val="431"/>
        </w:trPr>
        <w:tc>
          <w:tcPr>
            <w:tcW w:w="1255" w:type="dxa"/>
            <w:vAlign w:val="center"/>
          </w:tcPr>
          <w:p w14:paraId="15C3B6D1" w14:textId="0B542C5D" w:rsidR="008C409F" w:rsidRPr="00A55070" w:rsidRDefault="008C409F" w:rsidP="008C409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O</w:t>
            </w:r>
            <w:r w:rsidR="00BA4F43">
              <w:rPr>
                <w:rFonts w:ascii="Times New Roman" w:eastAsia="Calibri" w:hAnsi="Times New Roman" w:cs="Times New Roman"/>
                <w:sz w:val="24"/>
                <w:szCs w:val="24"/>
              </w:rPr>
              <w:t>ption</w:t>
            </w:r>
          </w:p>
        </w:tc>
        <w:tc>
          <w:tcPr>
            <w:tcW w:w="4050" w:type="dxa"/>
            <w:vAlign w:val="center"/>
          </w:tcPr>
          <w:p w14:paraId="10493204" w14:textId="77777777" w:rsidR="008C409F" w:rsidRPr="00C97F2B" w:rsidRDefault="008C409F" w:rsidP="00D40C9E">
            <w:pPr>
              <w:contextualSpacing/>
              <w:jc w:val="center"/>
              <w:rPr>
                <w:rFonts w:ascii="Times New Roman" w:eastAsia="Calibri" w:hAnsi="Times New Roman" w:cs="Times New Roman"/>
                <w:bCs/>
                <w:sz w:val="24"/>
                <w:szCs w:val="24"/>
              </w:rPr>
            </w:pPr>
            <w:r w:rsidRPr="00C97F2B">
              <w:rPr>
                <w:rFonts w:ascii="Times New Roman" w:eastAsia="Calibri" w:hAnsi="Times New Roman" w:cs="Times New Roman"/>
                <w:bCs/>
                <w:sz w:val="24"/>
                <w:szCs w:val="24"/>
              </w:rPr>
              <w:t>Initial</w:t>
            </w:r>
          </w:p>
        </w:tc>
        <w:tc>
          <w:tcPr>
            <w:tcW w:w="4045" w:type="dxa"/>
            <w:vAlign w:val="center"/>
          </w:tcPr>
          <w:p w14:paraId="63108A5F" w14:textId="77777777" w:rsidR="008C409F" w:rsidRPr="00C97F2B" w:rsidRDefault="008C409F" w:rsidP="00D40C9E">
            <w:pPr>
              <w:contextualSpacing/>
              <w:jc w:val="center"/>
              <w:rPr>
                <w:rFonts w:ascii="Times New Roman" w:eastAsia="Calibri" w:hAnsi="Times New Roman" w:cs="Times New Roman"/>
                <w:b/>
                <w:bCs/>
                <w:sz w:val="24"/>
                <w:szCs w:val="24"/>
              </w:rPr>
            </w:pPr>
            <w:r w:rsidRPr="00C97F2B">
              <w:rPr>
                <w:rFonts w:ascii="Times New Roman" w:eastAsia="Calibri" w:hAnsi="Times New Roman" w:cs="Times New Roman"/>
                <w:b/>
                <w:bCs/>
                <w:sz w:val="24"/>
                <w:szCs w:val="24"/>
              </w:rPr>
              <w:t>New</w:t>
            </w:r>
          </w:p>
        </w:tc>
      </w:tr>
      <w:tr w:rsidR="008C409F" w:rsidRPr="00A55070" w14:paraId="10BA6156" w14:textId="77777777" w:rsidTr="00693381">
        <w:trPr>
          <w:cantSplit/>
          <w:trHeight w:val="440"/>
        </w:trPr>
        <w:tc>
          <w:tcPr>
            <w:tcW w:w="1255" w:type="dxa"/>
            <w:vAlign w:val="center"/>
          </w:tcPr>
          <w:p w14:paraId="6F81FA54" w14:textId="16F6FD87" w:rsidR="008C409F" w:rsidRPr="00C97F2B" w:rsidRDefault="008C409F" w:rsidP="008C409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4050" w:type="dxa"/>
            <w:vAlign w:val="center"/>
          </w:tcPr>
          <w:p w14:paraId="686D5AEE" w14:textId="62E62026" w:rsidR="008C409F" w:rsidRPr="00C97F2B" w:rsidRDefault="003102DD" w:rsidP="00D40C9E">
            <w:pPr>
              <w:contextualSpacing/>
              <w:rPr>
                <w:rFonts w:ascii="Times New Roman" w:eastAsia="Calibri" w:hAnsi="Times New Roman" w:cs="Times New Roman"/>
                <w:sz w:val="24"/>
                <w:szCs w:val="24"/>
              </w:rPr>
            </w:pPr>
            <w:r w:rsidRPr="003102DD">
              <w:rPr>
                <w:rFonts w:ascii="Times New Roman" w:eastAsia="Calibri" w:hAnsi="Times New Roman" w:cs="Times New Roman"/>
                <w:sz w:val="24"/>
                <w:szCs w:val="24"/>
              </w:rPr>
              <w:t>Buildings and associated tanks excluding buildings 123, 124, and 126.</w:t>
            </w:r>
          </w:p>
        </w:tc>
        <w:tc>
          <w:tcPr>
            <w:tcW w:w="4045" w:type="dxa"/>
            <w:vAlign w:val="center"/>
          </w:tcPr>
          <w:p w14:paraId="46464463" w14:textId="5D7E5FAF" w:rsidR="008C409F" w:rsidRPr="00693381" w:rsidRDefault="003102DD" w:rsidP="003102DD">
            <w:pPr>
              <w:contextualSpacing/>
              <w:rPr>
                <w:rFonts w:ascii="Times New Roman" w:eastAsia="Calibri" w:hAnsi="Times New Roman" w:cs="Times New Roman"/>
                <w:bCs/>
                <w:sz w:val="24"/>
                <w:szCs w:val="24"/>
              </w:rPr>
            </w:pPr>
            <w:r w:rsidRPr="00693381">
              <w:rPr>
                <w:rFonts w:ascii="Times New Roman" w:eastAsia="Calibri" w:hAnsi="Times New Roman" w:cs="Times New Roman"/>
                <w:bCs/>
                <w:sz w:val="24"/>
                <w:szCs w:val="24"/>
              </w:rPr>
              <w:t xml:space="preserve">Buildings and associated tanks excluding buildings </w:t>
            </w:r>
            <w:r w:rsidRPr="00693381">
              <w:rPr>
                <w:rFonts w:ascii="Times New Roman" w:eastAsia="Calibri" w:hAnsi="Times New Roman" w:cs="Times New Roman"/>
                <w:b/>
                <w:bCs/>
                <w:sz w:val="24"/>
                <w:szCs w:val="24"/>
              </w:rPr>
              <w:t>114, 125</w:t>
            </w:r>
            <w:r w:rsidRPr="00693381">
              <w:rPr>
                <w:rFonts w:ascii="Times New Roman" w:eastAsia="Calibri" w:hAnsi="Times New Roman" w:cs="Times New Roman"/>
                <w:bCs/>
                <w:sz w:val="24"/>
                <w:szCs w:val="24"/>
              </w:rPr>
              <w:t>, and 126.</w:t>
            </w:r>
          </w:p>
        </w:tc>
      </w:tr>
      <w:tr w:rsidR="008C409F" w:rsidRPr="00A55070" w14:paraId="3E157B87" w14:textId="77777777" w:rsidTr="00693381">
        <w:trPr>
          <w:cantSplit/>
          <w:trHeight w:val="440"/>
        </w:trPr>
        <w:tc>
          <w:tcPr>
            <w:tcW w:w="1255" w:type="dxa"/>
            <w:vAlign w:val="center"/>
          </w:tcPr>
          <w:p w14:paraId="68A1DD62" w14:textId="5A4C8D24" w:rsidR="008C409F" w:rsidRDefault="008C409F" w:rsidP="008C409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4050" w:type="dxa"/>
            <w:vAlign w:val="center"/>
          </w:tcPr>
          <w:p w14:paraId="24B6E241" w14:textId="0AADBBD5" w:rsidR="008C409F" w:rsidRDefault="003102DD" w:rsidP="00D40C9E">
            <w:pPr>
              <w:contextualSpacing/>
              <w:rPr>
                <w:rFonts w:ascii="Times New Roman" w:eastAsia="Calibri" w:hAnsi="Times New Roman" w:cs="Times New Roman"/>
                <w:sz w:val="24"/>
                <w:szCs w:val="24"/>
              </w:rPr>
            </w:pPr>
            <w:r w:rsidRPr="00635C8F">
              <w:rPr>
                <w:rFonts w:ascii="Times New Roman" w:hAnsi="Times New Roman" w:cs="Times New Roman"/>
                <w:sz w:val="24"/>
                <w:szCs w:val="24"/>
              </w:rPr>
              <w:t>Buildings 123, 124, and 126 and associated tanks.</w:t>
            </w:r>
          </w:p>
        </w:tc>
        <w:tc>
          <w:tcPr>
            <w:tcW w:w="4045" w:type="dxa"/>
            <w:vAlign w:val="center"/>
          </w:tcPr>
          <w:p w14:paraId="17128F70" w14:textId="706507F9" w:rsidR="008C409F" w:rsidRPr="00C97F2B" w:rsidRDefault="003102DD" w:rsidP="003102DD">
            <w:pPr>
              <w:contextualSpacing/>
              <w:rPr>
                <w:rFonts w:ascii="Times New Roman" w:eastAsia="Calibri" w:hAnsi="Times New Roman" w:cs="Times New Roman"/>
                <w:b/>
                <w:bCs/>
                <w:sz w:val="24"/>
                <w:szCs w:val="24"/>
              </w:rPr>
            </w:pPr>
            <w:r w:rsidRPr="00635C8F">
              <w:rPr>
                <w:rFonts w:ascii="Times New Roman" w:hAnsi="Times New Roman" w:cs="Times New Roman"/>
                <w:sz w:val="24"/>
                <w:szCs w:val="24"/>
              </w:rPr>
              <w:t xml:space="preserve">Buildings </w:t>
            </w:r>
            <w:r w:rsidRPr="00693381">
              <w:rPr>
                <w:rFonts w:ascii="Times New Roman" w:hAnsi="Times New Roman" w:cs="Times New Roman"/>
                <w:b/>
                <w:sz w:val="24"/>
                <w:szCs w:val="24"/>
              </w:rPr>
              <w:t>114, 125</w:t>
            </w:r>
            <w:r w:rsidRPr="00635C8F">
              <w:rPr>
                <w:rFonts w:ascii="Times New Roman" w:hAnsi="Times New Roman" w:cs="Times New Roman"/>
                <w:sz w:val="24"/>
                <w:szCs w:val="24"/>
              </w:rPr>
              <w:t>, and 126 and associated tanks.</w:t>
            </w:r>
          </w:p>
        </w:tc>
      </w:tr>
      <w:tr w:rsidR="008C409F" w:rsidRPr="00A55070" w14:paraId="428D2E89" w14:textId="77777777" w:rsidTr="00693381">
        <w:trPr>
          <w:cantSplit/>
          <w:trHeight w:val="440"/>
        </w:trPr>
        <w:tc>
          <w:tcPr>
            <w:tcW w:w="1255" w:type="dxa"/>
            <w:vAlign w:val="center"/>
          </w:tcPr>
          <w:p w14:paraId="1F78C5E0" w14:textId="45CF8554" w:rsidR="008C409F" w:rsidRDefault="008C409F" w:rsidP="008C409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4050" w:type="dxa"/>
            <w:vAlign w:val="center"/>
          </w:tcPr>
          <w:p w14:paraId="774BD673" w14:textId="0028090F" w:rsidR="008C409F" w:rsidRDefault="00693381" w:rsidP="00D40C9E">
            <w:pPr>
              <w:contextualSpacing/>
              <w:rPr>
                <w:rFonts w:ascii="Times New Roman" w:eastAsia="Calibri" w:hAnsi="Times New Roman" w:cs="Times New Roman"/>
                <w:sz w:val="24"/>
                <w:szCs w:val="24"/>
              </w:rPr>
            </w:pPr>
            <w:r w:rsidRPr="00635C8F">
              <w:rPr>
                <w:rFonts w:ascii="Times New Roman" w:hAnsi="Times New Roman" w:cs="Times New Roman"/>
                <w:sz w:val="24"/>
                <w:szCs w:val="24"/>
              </w:rPr>
              <w:t>Buildings and associated tanks excluding buildings 123, 124, and 126.</w:t>
            </w:r>
          </w:p>
        </w:tc>
        <w:tc>
          <w:tcPr>
            <w:tcW w:w="4045" w:type="dxa"/>
            <w:vAlign w:val="center"/>
          </w:tcPr>
          <w:p w14:paraId="336EF3D6" w14:textId="46DAF6A8" w:rsidR="008C409F" w:rsidRPr="00C97F2B" w:rsidRDefault="00693381" w:rsidP="00693381">
            <w:pPr>
              <w:contextualSpacing/>
              <w:rPr>
                <w:rFonts w:ascii="Times New Roman" w:eastAsia="Calibri" w:hAnsi="Times New Roman" w:cs="Times New Roman"/>
                <w:b/>
                <w:bCs/>
                <w:sz w:val="24"/>
                <w:szCs w:val="24"/>
              </w:rPr>
            </w:pPr>
            <w:r w:rsidRPr="00635C8F">
              <w:rPr>
                <w:rFonts w:ascii="Times New Roman" w:hAnsi="Times New Roman" w:cs="Times New Roman"/>
                <w:sz w:val="24"/>
                <w:szCs w:val="24"/>
              </w:rPr>
              <w:t xml:space="preserve">Buildings and associated tanks excluding buildings </w:t>
            </w:r>
            <w:r w:rsidRPr="00693381">
              <w:rPr>
                <w:rFonts w:ascii="Times New Roman" w:hAnsi="Times New Roman" w:cs="Times New Roman"/>
                <w:b/>
                <w:sz w:val="24"/>
                <w:szCs w:val="24"/>
              </w:rPr>
              <w:t>114, 125</w:t>
            </w:r>
            <w:r w:rsidRPr="00635C8F">
              <w:rPr>
                <w:rFonts w:ascii="Times New Roman" w:hAnsi="Times New Roman" w:cs="Times New Roman"/>
                <w:sz w:val="24"/>
                <w:szCs w:val="24"/>
              </w:rPr>
              <w:t>, and 126.</w:t>
            </w:r>
          </w:p>
        </w:tc>
      </w:tr>
      <w:tr w:rsidR="008C409F" w:rsidRPr="00A55070" w14:paraId="229C1E8B" w14:textId="77777777" w:rsidTr="00693381">
        <w:trPr>
          <w:cantSplit/>
          <w:trHeight w:val="440"/>
        </w:trPr>
        <w:tc>
          <w:tcPr>
            <w:tcW w:w="1255" w:type="dxa"/>
            <w:vAlign w:val="center"/>
          </w:tcPr>
          <w:p w14:paraId="74271F6A" w14:textId="453ACCE5" w:rsidR="008C409F" w:rsidRDefault="008C409F" w:rsidP="008C409F">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4050" w:type="dxa"/>
            <w:vAlign w:val="center"/>
          </w:tcPr>
          <w:p w14:paraId="1BED1813" w14:textId="733BF463" w:rsidR="008C409F" w:rsidRDefault="00693381" w:rsidP="00D40C9E">
            <w:pPr>
              <w:contextualSpacing/>
              <w:rPr>
                <w:rFonts w:ascii="Times New Roman" w:eastAsia="Calibri" w:hAnsi="Times New Roman" w:cs="Times New Roman"/>
                <w:sz w:val="24"/>
                <w:szCs w:val="24"/>
              </w:rPr>
            </w:pPr>
            <w:r w:rsidRPr="00635C8F">
              <w:rPr>
                <w:rFonts w:ascii="Times New Roman" w:hAnsi="Times New Roman" w:cs="Times New Roman"/>
                <w:sz w:val="24"/>
                <w:szCs w:val="24"/>
              </w:rPr>
              <w:t>Buildings 123, 124, and 126 and associated tanks.</w:t>
            </w:r>
          </w:p>
        </w:tc>
        <w:tc>
          <w:tcPr>
            <w:tcW w:w="4045" w:type="dxa"/>
            <w:vAlign w:val="center"/>
          </w:tcPr>
          <w:p w14:paraId="71C16066" w14:textId="209E6ECB" w:rsidR="008C409F" w:rsidRPr="00C97F2B" w:rsidRDefault="00693381" w:rsidP="00693381">
            <w:pPr>
              <w:contextualSpacing/>
              <w:rPr>
                <w:rFonts w:ascii="Times New Roman" w:eastAsia="Calibri" w:hAnsi="Times New Roman" w:cs="Times New Roman"/>
                <w:b/>
                <w:bCs/>
                <w:sz w:val="24"/>
                <w:szCs w:val="24"/>
              </w:rPr>
            </w:pPr>
            <w:r w:rsidRPr="00635C8F">
              <w:rPr>
                <w:rFonts w:ascii="Times New Roman" w:hAnsi="Times New Roman" w:cs="Times New Roman"/>
                <w:sz w:val="24"/>
                <w:szCs w:val="24"/>
              </w:rPr>
              <w:t xml:space="preserve">Buildings </w:t>
            </w:r>
            <w:r w:rsidRPr="00693381">
              <w:rPr>
                <w:rFonts w:ascii="Times New Roman" w:hAnsi="Times New Roman" w:cs="Times New Roman"/>
                <w:b/>
                <w:sz w:val="24"/>
                <w:szCs w:val="24"/>
              </w:rPr>
              <w:t>114, 125</w:t>
            </w:r>
            <w:r w:rsidRPr="00635C8F">
              <w:rPr>
                <w:rFonts w:ascii="Times New Roman" w:hAnsi="Times New Roman" w:cs="Times New Roman"/>
                <w:sz w:val="24"/>
                <w:szCs w:val="24"/>
              </w:rPr>
              <w:t>, and 126 and associated tanks.</w:t>
            </w:r>
          </w:p>
        </w:tc>
      </w:tr>
    </w:tbl>
    <w:p w14:paraId="1F5B252B" w14:textId="77777777" w:rsidR="00DB4B3B" w:rsidRDefault="00DB4B3B" w:rsidP="00DB4B3B">
      <w:pPr>
        <w:spacing w:after="0" w:line="240" w:lineRule="auto"/>
        <w:contextualSpacing/>
        <w:jc w:val="both"/>
        <w:rPr>
          <w:rFonts w:ascii="Times New Roman" w:eastAsia="Calibri" w:hAnsi="Times New Roman" w:cs="Times New Roman"/>
          <w:sz w:val="24"/>
          <w:szCs w:val="24"/>
        </w:rPr>
      </w:pPr>
    </w:p>
    <w:p w14:paraId="51956F9F" w14:textId="77777777" w:rsidR="00BA4F43" w:rsidRDefault="00661E58" w:rsidP="00661E58">
      <w:pPr>
        <w:pStyle w:val="ListParagraph"/>
        <w:spacing w:after="120" w:line="240" w:lineRule="auto"/>
        <w:ind w:left="0"/>
        <w:contextualSpacing w:val="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Revised </w:t>
      </w:r>
      <w:r w:rsidRPr="00073507">
        <w:rPr>
          <w:rFonts w:ascii="Times New Roman" w:hAnsi="Times New Roman" w:cs="Times New Roman"/>
          <w:b/>
          <w:sz w:val="24"/>
          <w:szCs w:val="24"/>
          <w:u w:val="single"/>
        </w:rPr>
        <w:t>Bid Details:</w:t>
      </w:r>
    </w:p>
    <w:p w14:paraId="479E9775" w14:textId="4BBD4CBE" w:rsidR="00661E58" w:rsidRPr="00073507" w:rsidRDefault="00BA4F43" w:rsidP="00661E58">
      <w:pPr>
        <w:pStyle w:val="ListParagraph"/>
        <w:spacing w:after="120" w:line="240" w:lineRule="auto"/>
        <w:ind w:left="0"/>
        <w:contextualSpacing w:val="0"/>
        <w:jc w:val="both"/>
        <w:rPr>
          <w:rFonts w:ascii="Times New Roman" w:hAnsi="Times New Roman" w:cs="Times New Roman"/>
          <w:sz w:val="24"/>
          <w:szCs w:val="24"/>
        </w:rPr>
      </w:pPr>
      <w:r>
        <w:rPr>
          <w:rFonts w:ascii="Times New Roman" w:eastAsia="Calibri" w:hAnsi="Times New Roman" w:cs="Times New Roman"/>
          <w:sz w:val="24"/>
          <w:szCs w:val="24"/>
        </w:rPr>
        <w:t xml:space="preserve">Buildings 114 and 125 are being substituted for Buildings 123 and 124 as identified on Page 9 in the initial ITB as follows and in </w:t>
      </w:r>
      <w:r w:rsidRPr="005C1A88">
        <w:rPr>
          <w:rFonts w:ascii="Times New Roman" w:eastAsia="Calibri" w:hAnsi="Times New Roman" w:cs="Times New Roman"/>
          <w:b/>
          <w:sz w:val="24"/>
          <w:szCs w:val="24"/>
        </w:rPr>
        <w:t>Appendix H</w:t>
      </w:r>
      <w:r>
        <w:rPr>
          <w:rFonts w:ascii="Times New Roman" w:eastAsia="Calibri" w:hAnsi="Times New Roman" w:cs="Times New Roman"/>
          <w:sz w:val="24"/>
          <w:szCs w:val="24"/>
        </w:rPr>
        <w:t>.</w:t>
      </w:r>
      <w:r w:rsidR="00661E58" w:rsidRPr="00073507">
        <w:rPr>
          <w:rFonts w:ascii="Times New Roman" w:hAnsi="Times New Roman" w:cs="Times New Roman"/>
          <w:sz w:val="24"/>
          <w:szCs w:val="24"/>
        </w:rPr>
        <w:t xml:space="preserve"> </w:t>
      </w:r>
    </w:p>
    <w:tbl>
      <w:tblPr>
        <w:tblStyle w:val="TableGrid"/>
        <w:tblW w:w="9355" w:type="dxa"/>
        <w:tblLook w:val="04A0" w:firstRow="1" w:lastRow="0" w:firstColumn="1" w:lastColumn="0" w:noHBand="0" w:noVBand="1"/>
      </w:tblPr>
      <w:tblGrid>
        <w:gridCol w:w="5305"/>
        <w:gridCol w:w="4050"/>
      </w:tblGrid>
      <w:tr w:rsidR="00BA4F43" w:rsidRPr="00A55070" w14:paraId="31564D5C" w14:textId="77777777" w:rsidTr="00BA4F43">
        <w:trPr>
          <w:cantSplit/>
          <w:trHeight w:val="431"/>
        </w:trPr>
        <w:tc>
          <w:tcPr>
            <w:tcW w:w="5305" w:type="dxa"/>
            <w:vAlign w:val="center"/>
          </w:tcPr>
          <w:p w14:paraId="55418CCB" w14:textId="77777777" w:rsidR="00BA4F43" w:rsidRPr="00C97F2B" w:rsidRDefault="00BA4F43" w:rsidP="00D40C9E">
            <w:pPr>
              <w:contextualSpacing/>
              <w:jc w:val="center"/>
              <w:rPr>
                <w:rFonts w:ascii="Times New Roman" w:eastAsia="Calibri" w:hAnsi="Times New Roman" w:cs="Times New Roman"/>
                <w:bCs/>
                <w:sz w:val="24"/>
                <w:szCs w:val="24"/>
              </w:rPr>
            </w:pPr>
            <w:r w:rsidRPr="00C97F2B">
              <w:rPr>
                <w:rFonts w:ascii="Times New Roman" w:eastAsia="Calibri" w:hAnsi="Times New Roman" w:cs="Times New Roman"/>
                <w:bCs/>
                <w:sz w:val="24"/>
                <w:szCs w:val="24"/>
              </w:rPr>
              <w:t>Initial</w:t>
            </w:r>
          </w:p>
        </w:tc>
        <w:tc>
          <w:tcPr>
            <w:tcW w:w="4050" w:type="dxa"/>
            <w:vAlign w:val="center"/>
          </w:tcPr>
          <w:p w14:paraId="4EC331B2" w14:textId="77777777" w:rsidR="00BA4F43" w:rsidRPr="00C97F2B" w:rsidRDefault="00BA4F43" w:rsidP="00D40C9E">
            <w:pPr>
              <w:contextualSpacing/>
              <w:jc w:val="center"/>
              <w:rPr>
                <w:rFonts w:ascii="Times New Roman" w:eastAsia="Calibri" w:hAnsi="Times New Roman" w:cs="Times New Roman"/>
                <w:b/>
                <w:bCs/>
                <w:sz w:val="24"/>
                <w:szCs w:val="24"/>
              </w:rPr>
            </w:pPr>
            <w:r w:rsidRPr="00C97F2B">
              <w:rPr>
                <w:rFonts w:ascii="Times New Roman" w:eastAsia="Calibri" w:hAnsi="Times New Roman" w:cs="Times New Roman"/>
                <w:b/>
                <w:bCs/>
                <w:sz w:val="24"/>
                <w:szCs w:val="24"/>
              </w:rPr>
              <w:t>New</w:t>
            </w:r>
          </w:p>
        </w:tc>
      </w:tr>
      <w:tr w:rsidR="00BA4F43" w:rsidRPr="00A55070" w14:paraId="4C8265C2" w14:textId="77777777" w:rsidTr="00BA4F43">
        <w:trPr>
          <w:cantSplit/>
          <w:trHeight w:val="440"/>
        </w:trPr>
        <w:tc>
          <w:tcPr>
            <w:tcW w:w="5305" w:type="dxa"/>
            <w:vAlign w:val="center"/>
          </w:tcPr>
          <w:p w14:paraId="4DF36F20" w14:textId="77777777" w:rsidR="00BA4F43" w:rsidRPr="00C97F2B" w:rsidRDefault="00BA4F43" w:rsidP="00D40C9E">
            <w:pPr>
              <w:contextualSpacing/>
              <w:rPr>
                <w:rFonts w:ascii="Times New Roman" w:eastAsia="Calibri" w:hAnsi="Times New Roman" w:cs="Times New Roman"/>
                <w:sz w:val="24"/>
                <w:szCs w:val="24"/>
              </w:rPr>
            </w:pPr>
            <w:r w:rsidRPr="003102DD">
              <w:rPr>
                <w:rFonts w:ascii="Times New Roman" w:eastAsia="Calibri" w:hAnsi="Times New Roman" w:cs="Times New Roman"/>
                <w:sz w:val="24"/>
                <w:szCs w:val="24"/>
              </w:rPr>
              <w:t>Buildings and associated tanks excluding buildings 123, 124, and 126.</w:t>
            </w:r>
          </w:p>
        </w:tc>
        <w:tc>
          <w:tcPr>
            <w:tcW w:w="4050" w:type="dxa"/>
            <w:vAlign w:val="center"/>
          </w:tcPr>
          <w:p w14:paraId="0EFAF47F" w14:textId="77777777" w:rsidR="00BA4F43" w:rsidRPr="00693381" w:rsidRDefault="00BA4F43" w:rsidP="00D40C9E">
            <w:pPr>
              <w:contextualSpacing/>
              <w:rPr>
                <w:rFonts w:ascii="Times New Roman" w:eastAsia="Calibri" w:hAnsi="Times New Roman" w:cs="Times New Roman"/>
                <w:bCs/>
                <w:sz w:val="24"/>
                <w:szCs w:val="24"/>
              </w:rPr>
            </w:pPr>
            <w:r w:rsidRPr="00693381">
              <w:rPr>
                <w:rFonts w:ascii="Times New Roman" w:eastAsia="Calibri" w:hAnsi="Times New Roman" w:cs="Times New Roman"/>
                <w:bCs/>
                <w:sz w:val="24"/>
                <w:szCs w:val="24"/>
              </w:rPr>
              <w:t xml:space="preserve">Buildings and associated tanks excluding buildings </w:t>
            </w:r>
            <w:r w:rsidRPr="00693381">
              <w:rPr>
                <w:rFonts w:ascii="Times New Roman" w:eastAsia="Calibri" w:hAnsi="Times New Roman" w:cs="Times New Roman"/>
                <w:b/>
                <w:bCs/>
                <w:sz w:val="24"/>
                <w:szCs w:val="24"/>
              </w:rPr>
              <w:t>114, 125</w:t>
            </w:r>
            <w:r w:rsidRPr="00693381">
              <w:rPr>
                <w:rFonts w:ascii="Times New Roman" w:eastAsia="Calibri" w:hAnsi="Times New Roman" w:cs="Times New Roman"/>
                <w:bCs/>
                <w:sz w:val="24"/>
                <w:szCs w:val="24"/>
              </w:rPr>
              <w:t>, and 126.</w:t>
            </w:r>
          </w:p>
        </w:tc>
      </w:tr>
      <w:tr w:rsidR="00BA4F43" w:rsidRPr="00A55070" w14:paraId="24E18522" w14:textId="77777777" w:rsidTr="00BA4F43">
        <w:trPr>
          <w:cantSplit/>
          <w:trHeight w:val="440"/>
        </w:trPr>
        <w:tc>
          <w:tcPr>
            <w:tcW w:w="5305" w:type="dxa"/>
            <w:vAlign w:val="center"/>
          </w:tcPr>
          <w:p w14:paraId="6279732D" w14:textId="77777777" w:rsidR="00BA4F43" w:rsidRDefault="00BA4F43" w:rsidP="00D40C9E">
            <w:pPr>
              <w:contextualSpacing/>
              <w:rPr>
                <w:rFonts w:ascii="Times New Roman" w:eastAsia="Calibri" w:hAnsi="Times New Roman" w:cs="Times New Roman"/>
                <w:sz w:val="24"/>
                <w:szCs w:val="24"/>
              </w:rPr>
            </w:pPr>
            <w:r w:rsidRPr="00635C8F">
              <w:rPr>
                <w:rFonts w:ascii="Times New Roman" w:hAnsi="Times New Roman" w:cs="Times New Roman"/>
                <w:sz w:val="24"/>
                <w:szCs w:val="24"/>
              </w:rPr>
              <w:t>Buildings 123, 124, and 126 and associated tanks.</w:t>
            </w:r>
          </w:p>
        </w:tc>
        <w:tc>
          <w:tcPr>
            <w:tcW w:w="4050" w:type="dxa"/>
            <w:vAlign w:val="center"/>
          </w:tcPr>
          <w:p w14:paraId="6844724B" w14:textId="77777777" w:rsidR="00BA4F43" w:rsidRPr="00C97F2B" w:rsidRDefault="00BA4F43" w:rsidP="00D40C9E">
            <w:pPr>
              <w:contextualSpacing/>
              <w:rPr>
                <w:rFonts w:ascii="Times New Roman" w:eastAsia="Calibri" w:hAnsi="Times New Roman" w:cs="Times New Roman"/>
                <w:b/>
                <w:bCs/>
                <w:sz w:val="24"/>
                <w:szCs w:val="24"/>
              </w:rPr>
            </w:pPr>
            <w:r w:rsidRPr="00635C8F">
              <w:rPr>
                <w:rFonts w:ascii="Times New Roman" w:hAnsi="Times New Roman" w:cs="Times New Roman"/>
                <w:sz w:val="24"/>
                <w:szCs w:val="24"/>
              </w:rPr>
              <w:t xml:space="preserve">Buildings </w:t>
            </w:r>
            <w:r w:rsidRPr="00693381">
              <w:rPr>
                <w:rFonts w:ascii="Times New Roman" w:hAnsi="Times New Roman" w:cs="Times New Roman"/>
                <w:b/>
                <w:sz w:val="24"/>
                <w:szCs w:val="24"/>
              </w:rPr>
              <w:t>114, 125</w:t>
            </w:r>
            <w:r w:rsidRPr="00635C8F">
              <w:rPr>
                <w:rFonts w:ascii="Times New Roman" w:hAnsi="Times New Roman" w:cs="Times New Roman"/>
                <w:sz w:val="24"/>
                <w:szCs w:val="24"/>
              </w:rPr>
              <w:t>, and 126 and associated tanks.</w:t>
            </w:r>
          </w:p>
        </w:tc>
      </w:tr>
    </w:tbl>
    <w:p w14:paraId="70B3856C" w14:textId="77777777" w:rsidR="00661E58" w:rsidRDefault="00661E58" w:rsidP="00A55070">
      <w:pPr>
        <w:spacing w:after="120" w:line="240" w:lineRule="auto"/>
        <w:jc w:val="both"/>
        <w:rPr>
          <w:rFonts w:ascii="Times New Roman" w:eastAsia="Calibri" w:hAnsi="Times New Roman" w:cs="Times New Roman"/>
          <w:b/>
          <w:bCs/>
          <w:sz w:val="24"/>
          <w:szCs w:val="24"/>
          <w:u w:val="single"/>
        </w:rPr>
      </w:pPr>
    </w:p>
    <w:p w14:paraId="32127A72" w14:textId="77777777" w:rsidR="00661E58" w:rsidRDefault="00661E58" w:rsidP="00A55070">
      <w:pPr>
        <w:spacing w:after="120" w:line="240" w:lineRule="auto"/>
        <w:jc w:val="both"/>
        <w:rPr>
          <w:rFonts w:ascii="Times New Roman" w:eastAsia="Calibri" w:hAnsi="Times New Roman" w:cs="Times New Roman"/>
          <w:b/>
          <w:bCs/>
          <w:sz w:val="24"/>
          <w:szCs w:val="24"/>
          <w:u w:val="single"/>
        </w:rPr>
        <w:sectPr w:rsidR="00661E58" w:rsidSect="00871515">
          <w:type w:val="continuous"/>
          <w:pgSz w:w="12240" w:h="15840"/>
          <w:pgMar w:top="1440" w:right="1440" w:bottom="1440" w:left="1440" w:header="720" w:footer="720" w:gutter="0"/>
          <w:cols w:space="720"/>
          <w:docGrid w:linePitch="360"/>
        </w:sectPr>
      </w:pPr>
    </w:p>
    <w:p w14:paraId="27BB31B0" w14:textId="4106B778" w:rsidR="00A55070" w:rsidRDefault="00A55070" w:rsidP="00A55070">
      <w:pPr>
        <w:spacing w:after="120" w:line="240" w:lineRule="auto"/>
        <w:jc w:val="both"/>
        <w:rPr>
          <w:rFonts w:ascii="Times New Roman" w:eastAsia="Calibri" w:hAnsi="Times New Roman" w:cs="Times New Roman"/>
          <w:b/>
          <w:bCs/>
          <w:sz w:val="24"/>
          <w:szCs w:val="24"/>
          <w:u w:val="single"/>
        </w:rPr>
      </w:pPr>
      <w:r w:rsidRPr="00A55070">
        <w:rPr>
          <w:rFonts w:ascii="Times New Roman" w:eastAsia="Calibri" w:hAnsi="Times New Roman" w:cs="Times New Roman"/>
          <w:b/>
          <w:bCs/>
          <w:sz w:val="24"/>
          <w:szCs w:val="24"/>
          <w:u w:val="single"/>
        </w:rPr>
        <w:t>Questions and Answers</w:t>
      </w:r>
    </w:p>
    <w:p w14:paraId="283303A1" w14:textId="77777777" w:rsidR="004A5E55" w:rsidRDefault="004A5E55" w:rsidP="00A55070">
      <w:pPr>
        <w:spacing w:after="120" w:line="240" w:lineRule="auto"/>
        <w:jc w:val="both"/>
        <w:rPr>
          <w:rFonts w:ascii="Times New Roman" w:eastAsia="Calibri" w:hAnsi="Times New Roman" w:cs="Times New Roman"/>
          <w:b/>
          <w:bCs/>
          <w:sz w:val="24"/>
          <w:szCs w:val="24"/>
          <w:u w:val="single"/>
        </w:rPr>
      </w:pPr>
    </w:p>
    <w:tbl>
      <w:tblPr>
        <w:tblStyle w:val="TableGrid"/>
        <w:tblW w:w="9391" w:type="dxa"/>
        <w:tblLook w:val="04A0" w:firstRow="1" w:lastRow="0" w:firstColumn="1" w:lastColumn="0" w:noHBand="0" w:noVBand="1"/>
      </w:tblPr>
      <w:tblGrid>
        <w:gridCol w:w="1083"/>
        <w:gridCol w:w="4222"/>
        <w:gridCol w:w="4086"/>
      </w:tblGrid>
      <w:tr w:rsidR="0011633D" w:rsidRPr="001753AD" w14:paraId="638D61B3" w14:textId="77777777" w:rsidTr="00693381">
        <w:trPr>
          <w:cantSplit/>
          <w:trHeight w:val="431"/>
          <w:tblHeader/>
        </w:trPr>
        <w:tc>
          <w:tcPr>
            <w:tcW w:w="1083" w:type="dxa"/>
            <w:vAlign w:val="center"/>
          </w:tcPr>
          <w:p w14:paraId="6D97FC45" w14:textId="3F52EF4C" w:rsidR="0011633D" w:rsidRPr="00DC2A5F" w:rsidRDefault="0011633D" w:rsidP="0011633D">
            <w:pPr>
              <w:contextualSpacing/>
              <w:jc w:val="center"/>
              <w:rPr>
                <w:rFonts w:ascii="Times New Roman" w:eastAsia="Calibri" w:hAnsi="Times New Roman" w:cs="Times New Roman"/>
                <w:b/>
                <w:sz w:val="24"/>
                <w:szCs w:val="24"/>
              </w:rPr>
            </w:pPr>
            <w:r w:rsidRPr="00DC2A5F">
              <w:rPr>
                <w:rFonts w:ascii="Times New Roman" w:eastAsia="Calibri" w:hAnsi="Times New Roman" w:cs="Times New Roman"/>
                <w:b/>
                <w:sz w:val="18"/>
                <w:szCs w:val="24"/>
              </w:rPr>
              <w:t>Question Number</w:t>
            </w:r>
          </w:p>
        </w:tc>
        <w:tc>
          <w:tcPr>
            <w:tcW w:w="4222" w:type="dxa"/>
            <w:vAlign w:val="center"/>
          </w:tcPr>
          <w:p w14:paraId="43EE888D" w14:textId="6F7B8E42" w:rsidR="0011633D" w:rsidRPr="001753AD" w:rsidRDefault="0011633D" w:rsidP="0011633D">
            <w:pPr>
              <w:contextualSpacing/>
              <w:jc w:val="center"/>
              <w:rPr>
                <w:rFonts w:ascii="Times New Roman" w:eastAsia="Calibri" w:hAnsi="Times New Roman" w:cs="Times New Roman"/>
                <w:b/>
                <w:bCs/>
                <w:sz w:val="24"/>
                <w:szCs w:val="24"/>
              </w:rPr>
            </w:pPr>
            <w:r w:rsidRPr="001753AD">
              <w:rPr>
                <w:rFonts w:ascii="Times New Roman" w:eastAsia="Calibri" w:hAnsi="Times New Roman" w:cs="Times New Roman"/>
                <w:b/>
                <w:bCs/>
                <w:sz w:val="24"/>
                <w:szCs w:val="24"/>
              </w:rPr>
              <w:t>Question</w:t>
            </w:r>
          </w:p>
        </w:tc>
        <w:tc>
          <w:tcPr>
            <w:tcW w:w="4086" w:type="dxa"/>
            <w:vAlign w:val="center"/>
          </w:tcPr>
          <w:p w14:paraId="2AE30D99" w14:textId="6CFD13D3" w:rsidR="0011633D" w:rsidRPr="001753AD" w:rsidRDefault="0011633D" w:rsidP="0011633D">
            <w:pPr>
              <w:contextualSpacing/>
              <w:jc w:val="center"/>
              <w:rPr>
                <w:rFonts w:ascii="Times New Roman" w:eastAsia="Calibri" w:hAnsi="Times New Roman" w:cs="Times New Roman"/>
                <w:b/>
                <w:bCs/>
                <w:sz w:val="24"/>
                <w:szCs w:val="24"/>
              </w:rPr>
            </w:pPr>
            <w:r w:rsidRPr="001753AD">
              <w:rPr>
                <w:rFonts w:ascii="Times New Roman" w:eastAsia="Calibri" w:hAnsi="Times New Roman" w:cs="Times New Roman"/>
                <w:b/>
                <w:bCs/>
                <w:sz w:val="24"/>
                <w:szCs w:val="24"/>
              </w:rPr>
              <w:t>Response</w:t>
            </w:r>
          </w:p>
        </w:tc>
      </w:tr>
      <w:tr w:rsidR="0011633D" w:rsidRPr="001753AD" w14:paraId="1B6CAD96" w14:textId="77777777" w:rsidTr="00693381">
        <w:trPr>
          <w:cantSplit/>
          <w:trHeight w:val="440"/>
        </w:trPr>
        <w:tc>
          <w:tcPr>
            <w:tcW w:w="1083" w:type="dxa"/>
          </w:tcPr>
          <w:p w14:paraId="41E9F5EE" w14:textId="3D08ED55" w:rsidR="0011633D" w:rsidRPr="001753AD" w:rsidRDefault="0011633D" w:rsidP="00DB4B3B">
            <w:pPr>
              <w:contextualSpacing/>
              <w:jc w:val="center"/>
              <w:rPr>
                <w:rFonts w:ascii="Times New Roman" w:eastAsia="Calibri" w:hAnsi="Times New Roman" w:cs="Times New Roman"/>
                <w:sz w:val="24"/>
                <w:szCs w:val="24"/>
              </w:rPr>
            </w:pPr>
            <w:r w:rsidRPr="001753AD">
              <w:rPr>
                <w:rFonts w:ascii="Times New Roman" w:eastAsia="Calibri" w:hAnsi="Times New Roman" w:cs="Times New Roman"/>
                <w:sz w:val="24"/>
                <w:szCs w:val="24"/>
              </w:rPr>
              <w:t>1</w:t>
            </w:r>
          </w:p>
        </w:tc>
        <w:tc>
          <w:tcPr>
            <w:tcW w:w="4222" w:type="dxa"/>
          </w:tcPr>
          <w:p w14:paraId="0358E55A" w14:textId="77777777" w:rsidR="001753AD" w:rsidRPr="001753AD" w:rsidRDefault="001753AD" w:rsidP="001753AD">
            <w:pPr>
              <w:jc w:val="both"/>
              <w:rPr>
                <w:rFonts w:ascii="Times New Roman" w:hAnsi="Times New Roman" w:cs="Times New Roman"/>
                <w:sz w:val="24"/>
              </w:rPr>
            </w:pPr>
            <w:r w:rsidRPr="001753AD">
              <w:rPr>
                <w:rFonts w:ascii="Times New Roman" w:hAnsi="Times New Roman" w:cs="Times New Roman"/>
                <w:sz w:val="24"/>
              </w:rPr>
              <w:t>Are there any documents or quantities that can be provided to help quantify the extent of the underground utility tunnels that will need to be removed as part of this project?</w:t>
            </w:r>
          </w:p>
          <w:p w14:paraId="6C3D18C1" w14:textId="77777777" w:rsidR="0011633D" w:rsidRPr="001753AD" w:rsidRDefault="0011633D" w:rsidP="0011633D">
            <w:pPr>
              <w:contextualSpacing/>
              <w:rPr>
                <w:rFonts w:ascii="Times New Roman" w:eastAsia="Calibri" w:hAnsi="Times New Roman" w:cs="Times New Roman"/>
                <w:bCs/>
                <w:sz w:val="24"/>
                <w:szCs w:val="24"/>
              </w:rPr>
            </w:pPr>
          </w:p>
        </w:tc>
        <w:tc>
          <w:tcPr>
            <w:tcW w:w="4086" w:type="dxa"/>
          </w:tcPr>
          <w:p w14:paraId="7510AA93" w14:textId="21470876" w:rsidR="0011633D" w:rsidRPr="001753AD" w:rsidRDefault="000E5650" w:rsidP="00200253">
            <w:pPr>
              <w:contextualSpacing/>
              <w:jc w:val="both"/>
              <w:rPr>
                <w:rFonts w:ascii="Times New Roman" w:eastAsia="Calibri" w:hAnsi="Times New Roman" w:cs="Times New Roman"/>
                <w:bCs/>
                <w:sz w:val="24"/>
                <w:szCs w:val="24"/>
              </w:rPr>
            </w:pPr>
            <w:r w:rsidRPr="000E5650">
              <w:rPr>
                <w:rFonts w:ascii="Times New Roman" w:eastAsia="Calibri" w:hAnsi="Times New Roman" w:cs="Times New Roman"/>
                <w:bCs/>
                <w:sz w:val="24"/>
                <w:szCs w:val="24"/>
              </w:rPr>
              <w:t>Information on these structures is found on pdf titled “Under Ground Steam Tunnels” provided in the ITB data. The utility tunnels have been described as being approximately 10’w x 10’ h in interior dimension. This data is for information purposes only and the City makes no claims to their completeness or accuracy.</w:t>
            </w:r>
          </w:p>
        </w:tc>
      </w:tr>
      <w:tr w:rsidR="00636799" w:rsidRPr="001753AD" w14:paraId="6315648E" w14:textId="77777777" w:rsidTr="00693381">
        <w:trPr>
          <w:cantSplit/>
          <w:trHeight w:val="440"/>
        </w:trPr>
        <w:tc>
          <w:tcPr>
            <w:tcW w:w="1083" w:type="dxa"/>
          </w:tcPr>
          <w:p w14:paraId="7ECA127C" w14:textId="1A85A275" w:rsidR="00636799" w:rsidRPr="001753AD" w:rsidRDefault="00A47118" w:rsidP="00DB4B3B">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22" w:type="dxa"/>
          </w:tcPr>
          <w:p w14:paraId="29341AC1" w14:textId="18811F55" w:rsidR="00636799" w:rsidRPr="001753AD" w:rsidRDefault="00636799" w:rsidP="001753AD">
            <w:pPr>
              <w:jc w:val="both"/>
              <w:rPr>
                <w:rFonts w:ascii="Times New Roman" w:hAnsi="Times New Roman" w:cs="Times New Roman"/>
                <w:sz w:val="24"/>
              </w:rPr>
            </w:pPr>
            <w:r w:rsidRPr="00636799">
              <w:rPr>
                <w:rFonts w:ascii="Times New Roman" w:hAnsi="Times New Roman" w:cs="Times New Roman"/>
                <w:sz w:val="24"/>
              </w:rPr>
              <w:t>Please confirm who is responsible for providing the 3rd party monitor for the asbestos abatement scope of work.</w:t>
            </w:r>
          </w:p>
        </w:tc>
        <w:tc>
          <w:tcPr>
            <w:tcW w:w="4086" w:type="dxa"/>
          </w:tcPr>
          <w:p w14:paraId="4EF333C1" w14:textId="3CB09AF9" w:rsidR="00636799" w:rsidRPr="001753AD" w:rsidRDefault="00771E32" w:rsidP="001753AD">
            <w:pPr>
              <w:contextualSpacing/>
              <w:jc w:val="both"/>
              <w:rPr>
                <w:rFonts w:ascii="Times New Roman" w:eastAsia="Calibri" w:hAnsi="Times New Roman" w:cs="Times New Roman"/>
                <w:bCs/>
                <w:sz w:val="24"/>
                <w:szCs w:val="24"/>
              </w:rPr>
            </w:pPr>
            <w:r w:rsidRPr="00771E32">
              <w:rPr>
                <w:rFonts w:ascii="Times New Roman" w:eastAsia="Calibri" w:hAnsi="Times New Roman" w:cs="Times New Roman"/>
                <w:bCs/>
                <w:sz w:val="24"/>
                <w:szCs w:val="24"/>
              </w:rPr>
              <w:t>The contractor is responsible for performing asbestos abatement design, phasing, abatement, and monitoring</w:t>
            </w:r>
            <w:r>
              <w:rPr>
                <w:rFonts w:ascii="Times New Roman" w:eastAsia="Calibri" w:hAnsi="Times New Roman" w:cs="Times New Roman"/>
                <w:bCs/>
                <w:sz w:val="24"/>
                <w:szCs w:val="24"/>
              </w:rPr>
              <w:t>.</w:t>
            </w:r>
          </w:p>
        </w:tc>
      </w:tr>
      <w:tr w:rsidR="00636799" w:rsidRPr="001753AD" w14:paraId="77B89032" w14:textId="77777777" w:rsidTr="00693381">
        <w:trPr>
          <w:cantSplit/>
          <w:trHeight w:val="440"/>
        </w:trPr>
        <w:tc>
          <w:tcPr>
            <w:tcW w:w="1083" w:type="dxa"/>
          </w:tcPr>
          <w:p w14:paraId="37174F23" w14:textId="4F1F25B2"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222" w:type="dxa"/>
          </w:tcPr>
          <w:p w14:paraId="1443B66D" w14:textId="29206036" w:rsidR="00636799" w:rsidRPr="001753AD" w:rsidRDefault="002A434D" w:rsidP="001753AD">
            <w:pPr>
              <w:jc w:val="both"/>
              <w:rPr>
                <w:rFonts w:ascii="Times New Roman" w:hAnsi="Times New Roman" w:cs="Times New Roman"/>
                <w:sz w:val="24"/>
              </w:rPr>
            </w:pPr>
            <w:r w:rsidRPr="002A434D">
              <w:rPr>
                <w:rFonts w:ascii="Times New Roman" w:hAnsi="Times New Roman" w:cs="Times New Roman"/>
                <w:sz w:val="24"/>
              </w:rPr>
              <w:t>Please confirm who is responsible for providing the 3rd party to test soil compaction at all areas to be backfilled.</w:t>
            </w:r>
          </w:p>
        </w:tc>
        <w:tc>
          <w:tcPr>
            <w:tcW w:w="4086" w:type="dxa"/>
          </w:tcPr>
          <w:p w14:paraId="04BA3CBB" w14:textId="07A51B13" w:rsidR="00636799" w:rsidRPr="001753AD" w:rsidRDefault="002944B1" w:rsidP="002944B1">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The c</w:t>
            </w:r>
            <w:r w:rsidRPr="002944B1">
              <w:rPr>
                <w:rFonts w:ascii="Times New Roman" w:eastAsia="Calibri" w:hAnsi="Times New Roman" w:cs="Times New Roman"/>
                <w:bCs/>
                <w:sz w:val="24"/>
                <w:szCs w:val="24"/>
              </w:rPr>
              <w:t xml:space="preserve">ontractor </w:t>
            </w:r>
            <w:r>
              <w:rPr>
                <w:rFonts w:ascii="Times New Roman" w:eastAsia="Calibri" w:hAnsi="Times New Roman" w:cs="Times New Roman"/>
                <w:bCs/>
                <w:sz w:val="24"/>
                <w:szCs w:val="24"/>
              </w:rPr>
              <w:t>i</w:t>
            </w:r>
            <w:r w:rsidRPr="002944B1">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responsible for </w:t>
            </w:r>
            <w:r w:rsidRPr="002944B1">
              <w:rPr>
                <w:rFonts w:ascii="Times New Roman" w:eastAsia="Calibri" w:hAnsi="Times New Roman" w:cs="Times New Roman"/>
                <w:bCs/>
                <w:sz w:val="24"/>
                <w:szCs w:val="24"/>
              </w:rPr>
              <w:t>3</w:t>
            </w:r>
            <w:r w:rsidRPr="002944B1">
              <w:rPr>
                <w:rFonts w:ascii="Times New Roman" w:eastAsia="Calibri" w:hAnsi="Times New Roman" w:cs="Times New Roman"/>
                <w:bCs/>
                <w:sz w:val="24"/>
                <w:szCs w:val="24"/>
                <w:vertAlign w:val="superscript"/>
              </w:rPr>
              <w:t>rd</w:t>
            </w:r>
            <w:r>
              <w:rPr>
                <w:rFonts w:ascii="Times New Roman" w:eastAsia="Calibri" w:hAnsi="Times New Roman" w:cs="Times New Roman"/>
                <w:bCs/>
                <w:sz w:val="24"/>
                <w:szCs w:val="24"/>
              </w:rPr>
              <w:t xml:space="preserve"> </w:t>
            </w:r>
            <w:r w:rsidRPr="002944B1">
              <w:rPr>
                <w:rFonts w:ascii="Times New Roman" w:eastAsia="Calibri" w:hAnsi="Times New Roman" w:cs="Times New Roman"/>
                <w:bCs/>
                <w:sz w:val="24"/>
                <w:szCs w:val="24"/>
              </w:rPr>
              <w:t xml:space="preserve">party geotechnical firm </w:t>
            </w:r>
            <w:r>
              <w:rPr>
                <w:rFonts w:ascii="Times New Roman" w:eastAsia="Calibri" w:hAnsi="Times New Roman" w:cs="Times New Roman"/>
                <w:bCs/>
                <w:sz w:val="24"/>
                <w:szCs w:val="24"/>
              </w:rPr>
              <w:t xml:space="preserve">to confirm </w:t>
            </w:r>
            <w:r w:rsidRPr="002944B1">
              <w:rPr>
                <w:rFonts w:ascii="Times New Roman" w:eastAsia="Calibri" w:hAnsi="Times New Roman" w:cs="Times New Roman"/>
                <w:bCs/>
                <w:sz w:val="24"/>
                <w:szCs w:val="24"/>
              </w:rPr>
              <w:t>soils placement and compaction</w:t>
            </w:r>
            <w:r>
              <w:rPr>
                <w:rFonts w:ascii="Times New Roman" w:eastAsia="Calibri" w:hAnsi="Times New Roman" w:cs="Times New Roman"/>
                <w:bCs/>
                <w:sz w:val="24"/>
                <w:szCs w:val="24"/>
              </w:rPr>
              <w:t>.</w:t>
            </w:r>
            <w:r w:rsidRPr="002944B1">
              <w:rPr>
                <w:rFonts w:ascii="Times New Roman" w:eastAsia="Calibri" w:hAnsi="Times New Roman" w:cs="Times New Roman"/>
                <w:bCs/>
                <w:sz w:val="24"/>
                <w:szCs w:val="24"/>
              </w:rPr>
              <w:t xml:space="preserve"> </w:t>
            </w:r>
          </w:p>
        </w:tc>
      </w:tr>
      <w:tr w:rsidR="00636799" w:rsidRPr="001753AD" w14:paraId="730007FF" w14:textId="77777777" w:rsidTr="00693381">
        <w:trPr>
          <w:cantSplit/>
          <w:trHeight w:val="440"/>
        </w:trPr>
        <w:tc>
          <w:tcPr>
            <w:tcW w:w="1083" w:type="dxa"/>
          </w:tcPr>
          <w:p w14:paraId="6C4F5135" w14:textId="0EF6E39C"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4222" w:type="dxa"/>
          </w:tcPr>
          <w:p w14:paraId="39EB4009" w14:textId="65217E27" w:rsidR="00636799" w:rsidRPr="001753AD" w:rsidRDefault="002A434D" w:rsidP="001753AD">
            <w:pPr>
              <w:jc w:val="both"/>
              <w:rPr>
                <w:rFonts w:ascii="Times New Roman" w:hAnsi="Times New Roman" w:cs="Times New Roman"/>
                <w:sz w:val="24"/>
              </w:rPr>
            </w:pPr>
            <w:r w:rsidRPr="002A434D">
              <w:rPr>
                <w:rFonts w:ascii="Times New Roman" w:hAnsi="Times New Roman" w:cs="Times New Roman"/>
                <w:sz w:val="24"/>
              </w:rPr>
              <w:t>The ITB specifies that the masonry materials can be crushed onsite and used as fill. Are we only allowed to use crushed masonry materials as fill onsite?</w:t>
            </w:r>
          </w:p>
        </w:tc>
        <w:tc>
          <w:tcPr>
            <w:tcW w:w="4086" w:type="dxa"/>
          </w:tcPr>
          <w:p w14:paraId="110474C3" w14:textId="6058F443" w:rsidR="00636799" w:rsidRPr="001753AD" w:rsidRDefault="0054619F" w:rsidP="0054619F">
            <w:pPr>
              <w:contextualSpacing/>
              <w:jc w:val="both"/>
              <w:rPr>
                <w:rFonts w:ascii="Times New Roman" w:eastAsia="Calibri" w:hAnsi="Times New Roman" w:cs="Times New Roman"/>
                <w:bCs/>
                <w:sz w:val="24"/>
                <w:szCs w:val="24"/>
              </w:rPr>
            </w:pPr>
            <w:r w:rsidRPr="0054619F">
              <w:rPr>
                <w:rFonts w:ascii="Times New Roman" w:eastAsia="Calibri" w:hAnsi="Times New Roman" w:cs="Times New Roman"/>
                <w:bCs/>
                <w:sz w:val="24"/>
                <w:szCs w:val="24"/>
              </w:rPr>
              <w:t>Unless told otherwise by technical advisors, concrete</w:t>
            </w:r>
            <w:r>
              <w:rPr>
                <w:rFonts w:ascii="Times New Roman" w:eastAsia="Calibri" w:hAnsi="Times New Roman" w:cs="Times New Roman"/>
                <w:bCs/>
                <w:sz w:val="24"/>
                <w:szCs w:val="24"/>
              </w:rPr>
              <w:t>, masonry, or asphalt</w:t>
            </w:r>
            <w:r w:rsidRPr="0054619F">
              <w:rPr>
                <w:rFonts w:ascii="Times New Roman" w:eastAsia="Calibri" w:hAnsi="Times New Roman" w:cs="Times New Roman"/>
                <w:bCs/>
                <w:sz w:val="24"/>
                <w:szCs w:val="24"/>
              </w:rPr>
              <w:t xml:space="preserve"> material can be processed and used for onsite fill</w:t>
            </w:r>
            <w:r>
              <w:rPr>
                <w:rFonts w:ascii="Times New Roman" w:eastAsia="Calibri" w:hAnsi="Times New Roman" w:cs="Times New Roman"/>
                <w:bCs/>
                <w:sz w:val="24"/>
                <w:szCs w:val="24"/>
              </w:rPr>
              <w:t>.</w:t>
            </w:r>
          </w:p>
        </w:tc>
      </w:tr>
      <w:tr w:rsidR="00636799" w:rsidRPr="001753AD" w14:paraId="1A5B3563" w14:textId="77777777" w:rsidTr="00693381">
        <w:trPr>
          <w:cantSplit/>
          <w:trHeight w:val="440"/>
        </w:trPr>
        <w:tc>
          <w:tcPr>
            <w:tcW w:w="1083" w:type="dxa"/>
          </w:tcPr>
          <w:p w14:paraId="631B3FC2" w14:textId="32EB959E"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22" w:type="dxa"/>
          </w:tcPr>
          <w:p w14:paraId="2769D9A8" w14:textId="5648B717" w:rsidR="00636799" w:rsidRPr="001753AD" w:rsidRDefault="0054619F" w:rsidP="001753AD">
            <w:pPr>
              <w:jc w:val="both"/>
              <w:rPr>
                <w:rFonts w:ascii="Times New Roman" w:hAnsi="Times New Roman" w:cs="Times New Roman"/>
                <w:sz w:val="24"/>
              </w:rPr>
            </w:pPr>
            <w:r w:rsidRPr="0054619F">
              <w:rPr>
                <w:rFonts w:ascii="Times New Roman" w:hAnsi="Times New Roman" w:cs="Times New Roman"/>
                <w:sz w:val="24"/>
              </w:rPr>
              <w:t>Can the concrete debris be crushed onsite to be used as fill as well?</w:t>
            </w:r>
          </w:p>
        </w:tc>
        <w:tc>
          <w:tcPr>
            <w:tcW w:w="4086" w:type="dxa"/>
          </w:tcPr>
          <w:p w14:paraId="22CFD641" w14:textId="6756FB8B" w:rsidR="00636799" w:rsidRPr="001753AD" w:rsidRDefault="00FB338B" w:rsidP="001753AD">
            <w:pPr>
              <w:contextualSpacing/>
              <w:jc w:val="both"/>
              <w:rPr>
                <w:rFonts w:ascii="Times New Roman" w:eastAsia="Calibri" w:hAnsi="Times New Roman" w:cs="Times New Roman"/>
                <w:bCs/>
                <w:sz w:val="24"/>
                <w:szCs w:val="24"/>
              </w:rPr>
            </w:pPr>
            <w:r w:rsidRPr="00FB338B">
              <w:rPr>
                <w:rFonts w:ascii="Times New Roman" w:eastAsia="Calibri" w:hAnsi="Times New Roman" w:cs="Times New Roman"/>
                <w:bCs/>
                <w:sz w:val="24"/>
                <w:szCs w:val="24"/>
              </w:rPr>
              <w:t>Any clean concrete, asphalt, or masonry rubble can be crushed and used as fill and placed in lifts under the direction of the geotechnical engineer with lift depth and maximum particle size allowed in each lift to be determined by the geotechnical engineer</w:t>
            </w:r>
            <w:r w:rsidR="002724AC" w:rsidRPr="002724AC">
              <w:rPr>
                <w:rFonts w:ascii="Times New Roman" w:eastAsia="Calibri" w:hAnsi="Times New Roman" w:cs="Times New Roman"/>
                <w:bCs/>
                <w:sz w:val="24"/>
                <w:szCs w:val="24"/>
              </w:rPr>
              <w:t>.</w:t>
            </w:r>
          </w:p>
        </w:tc>
      </w:tr>
      <w:tr w:rsidR="00636799" w:rsidRPr="001753AD" w14:paraId="0297E0D6" w14:textId="77777777" w:rsidTr="00693381">
        <w:trPr>
          <w:cantSplit/>
          <w:trHeight w:val="440"/>
        </w:trPr>
        <w:tc>
          <w:tcPr>
            <w:tcW w:w="1083" w:type="dxa"/>
          </w:tcPr>
          <w:p w14:paraId="17DEAC79" w14:textId="75B74554"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22" w:type="dxa"/>
          </w:tcPr>
          <w:p w14:paraId="548B6570" w14:textId="5F3F5225" w:rsidR="00636799" w:rsidRPr="001753AD" w:rsidRDefault="00B7012B" w:rsidP="001753AD">
            <w:pPr>
              <w:jc w:val="both"/>
              <w:rPr>
                <w:rFonts w:ascii="Times New Roman" w:hAnsi="Times New Roman" w:cs="Times New Roman"/>
                <w:sz w:val="24"/>
              </w:rPr>
            </w:pPr>
            <w:r w:rsidRPr="00B7012B">
              <w:rPr>
                <w:rFonts w:ascii="Times New Roman" w:hAnsi="Times New Roman" w:cs="Times New Roman"/>
                <w:sz w:val="24"/>
              </w:rPr>
              <w:t>Is there any need for additional crushed masonry and/or concrete to be stockpiled onsite for use by others on the future development of the site?</w:t>
            </w:r>
          </w:p>
        </w:tc>
        <w:tc>
          <w:tcPr>
            <w:tcW w:w="4086" w:type="dxa"/>
          </w:tcPr>
          <w:p w14:paraId="02BF5E78" w14:textId="010CE6C1" w:rsidR="00636799" w:rsidRPr="001753AD" w:rsidRDefault="002724AC" w:rsidP="002724AC">
            <w:pPr>
              <w:contextualSpacing/>
              <w:jc w:val="both"/>
              <w:rPr>
                <w:rFonts w:ascii="Times New Roman" w:eastAsia="Calibri" w:hAnsi="Times New Roman" w:cs="Times New Roman"/>
                <w:bCs/>
                <w:sz w:val="24"/>
                <w:szCs w:val="24"/>
              </w:rPr>
            </w:pPr>
            <w:r w:rsidRPr="002724AC">
              <w:rPr>
                <w:rFonts w:ascii="Times New Roman" w:eastAsia="Calibri" w:hAnsi="Times New Roman" w:cs="Times New Roman"/>
                <w:bCs/>
                <w:sz w:val="24"/>
                <w:szCs w:val="24"/>
              </w:rPr>
              <w:t>Yes.  The demolition contractor will stockpile 500 tons of crushed concrete/masonry material on the parking lot</w:t>
            </w:r>
            <w:r>
              <w:rPr>
                <w:rFonts w:ascii="Times New Roman" w:eastAsia="Calibri" w:hAnsi="Times New Roman" w:cs="Times New Roman"/>
                <w:bCs/>
                <w:sz w:val="24"/>
                <w:szCs w:val="24"/>
              </w:rPr>
              <w:t>s</w:t>
            </w:r>
            <w:r w:rsidRPr="002724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within the site </w:t>
            </w:r>
            <w:r w:rsidR="003529C3">
              <w:rPr>
                <w:rFonts w:ascii="Times New Roman" w:eastAsia="Calibri" w:hAnsi="Times New Roman" w:cs="Times New Roman"/>
                <w:bCs/>
                <w:sz w:val="24"/>
                <w:szCs w:val="24"/>
              </w:rPr>
              <w:t>as</w:t>
            </w:r>
            <w:r>
              <w:rPr>
                <w:rFonts w:ascii="Times New Roman" w:eastAsia="Calibri" w:hAnsi="Times New Roman" w:cs="Times New Roman"/>
                <w:bCs/>
                <w:sz w:val="24"/>
                <w:szCs w:val="24"/>
              </w:rPr>
              <w:t xml:space="preserve"> determined by the City during contract negotiations.</w:t>
            </w:r>
            <w:r w:rsidRPr="002724AC">
              <w:rPr>
                <w:rFonts w:ascii="Times New Roman" w:eastAsia="Calibri" w:hAnsi="Times New Roman" w:cs="Times New Roman"/>
                <w:bCs/>
                <w:sz w:val="24"/>
                <w:szCs w:val="24"/>
              </w:rPr>
              <w:t xml:space="preserve"> The material will be crushed to #3 size stone or less gradation (unless approved by the geotechnical engineer or the City) and placed in bulk storage piles on the asphalt surface area for the owner’s use.</w:t>
            </w:r>
          </w:p>
        </w:tc>
      </w:tr>
      <w:tr w:rsidR="00636799" w:rsidRPr="001753AD" w14:paraId="717C1099" w14:textId="77777777" w:rsidTr="00693381">
        <w:trPr>
          <w:cantSplit/>
          <w:trHeight w:val="440"/>
        </w:trPr>
        <w:tc>
          <w:tcPr>
            <w:tcW w:w="1083" w:type="dxa"/>
          </w:tcPr>
          <w:p w14:paraId="78745930" w14:textId="12EBB01D"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222" w:type="dxa"/>
          </w:tcPr>
          <w:p w14:paraId="228E6EBE" w14:textId="48B709A0" w:rsidR="00636799" w:rsidRPr="001753AD" w:rsidRDefault="002724AC" w:rsidP="001753AD">
            <w:pPr>
              <w:jc w:val="both"/>
              <w:rPr>
                <w:rFonts w:ascii="Times New Roman" w:hAnsi="Times New Roman" w:cs="Times New Roman"/>
                <w:sz w:val="24"/>
              </w:rPr>
            </w:pPr>
            <w:r w:rsidRPr="002724AC">
              <w:rPr>
                <w:rFonts w:ascii="Times New Roman" w:hAnsi="Times New Roman" w:cs="Times New Roman"/>
                <w:sz w:val="24"/>
              </w:rPr>
              <w:t>ITB references AASHTO T191 as well as VTM-1 &amp; VTM-12.  Will particle size be restricted to certain sieve sizes to meet a VDOT Standard?</w:t>
            </w:r>
          </w:p>
        </w:tc>
        <w:tc>
          <w:tcPr>
            <w:tcW w:w="4086" w:type="dxa"/>
          </w:tcPr>
          <w:p w14:paraId="4D3B280B" w14:textId="397F4686" w:rsidR="00636799" w:rsidRPr="001753AD" w:rsidRDefault="002724AC" w:rsidP="00FA4C3B">
            <w:pPr>
              <w:contextualSpacing/>
              <w:jc w:val="both"/>
              <w:rPr>
                <w:rFonts w:ascii="Times New Roman" w:eastAsia="Calibri" w:hAnsi="Times New Roman" w:cs="Times New Roman"/>
                <w:bCs/>
                <w:sz w:val="24"/>
                <w:szCs w:val="24"/>
              </w:rPr>
            </w:pPr>
            <w:r w:rsidRPr="002724AC">
              <w:rPr>
                <w:rFonts w:ascii="Times New Roman" w:eastAsia="Calibri" w:hAnsi="Times New Roman" w:cs="Times New Roman"/>
                <w:bCs/>
                <w:sz w:val="24"/>
                <w:szCs w:val="24"/>
              </w:rPr>
              <w:t xml:space="preserve">Any clean concrete, asphalt, or masonry rubble can be crushed and used as fill </w:t>
            </w:r>
            <w:r w:rsidR="00FA4C3B" w:rsidRPr="00FA4C3B">
              <w:rPr>
                <w:rFonts w:ascii="Times New Roman" w:eastAsia="Calibri" w:hAnsi="Times New Roman" w:cs="Times New Roman"/>
                <w:bCs/>
                <w:sz w:val="24"/>
                <w:szCs w:val="24"/>
              </w:rPr>
              <w:t>and placed in lifts under the direction of the geotechnical engineer with lift depth and maximum particle size allowed in each lift to be determined by the geotechnical engineer.</w:t>
            </w:r>
            <w:r w:rsidRPr="002724AC">
              <w:rPr>
                <w:rFonts w:ascii="Times New Roman" w:eastAsia="Calibri" w:hAnsi="Times New Roman" w:cs="Times New Roman"/>
                <w:bCs/>
                <w:sz w:val="24"/>
                <w:szCs w:val="24"/>
              </w:rPr>
              <w:t xml:space="preserve">  </w:t>
            </w:r>
          </w:p>
        </w:tc>
      </w:tr>
      <w:tr w:rsidR="00636799" w:rsidRPr="001753AD" w14:paraId="2BF7312B" w14:textId="77777777" w:rsidTr="00693381">
        <w:trPr>
          <w:cantSplit/>
          <w:trHeight w:val="440"/>
        </w:trPr>
        <w:tc>
          <w:tcPr>
            <w:tcW w:w="1083" w:type="dxa"/>
          </w:tcPr>
          <w:p w14:paraId="1946A6A0" w14:textId="76D0011A"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22" w:type="dxa"/>
          </w:tcPr>
          <w:p w14:paraId="46730232" w14:textId="1AE383BF" w:rsidR="00636799" w:rsidRPr="001753AD" w:rsidRDefault="00FA4C3B" w:rsidP="001753AD">
            <w:pPr>
              <w:jc w:val="both"/>
              <w:rPr>
                <w:rFonts w:ascii="Times New Roman" w:hAnsi="Times New Roman" w:cs="Times New Roman"/>
                <w:sz w:val="24"/>
              </w:rPr>
            </w:pPr>
            <w:r w:rsidRPr="00FA4C3B">
              <w:rPr>
                <w:rFonts w:ascii="Times New Roman" w:hAnsi="Times New Roman" w:cs="Times New Roman"/>
                <w:sz w:val="24"/>
              </w:rPr>
              <w:t>A question at the pre-bid was asked about how the abatement that is hidden and not included in the report would be handled from a contractual standpoint.  Will this report type of unforeseen conditions be handled as a change order?</w:t>
            </w:r>
          </w:p>
        </w:tc>
        <w:tc>
          <w:tcPr>
            <w:tcW w:w="4086" w:type="dxa"/>
          </w:tcPr>
          <w:p w14:paraId="4528093D" w14:textId="4F8E6775" w:rsidR="00636799" w:rsidRPr="001753AD" w:rsidRDefault="00FA4C3B" w:rsidP="001753AD">
            <w:pPr>
              <w:contextualSpacing/>
              <w:jc w:val="both"/>
              <w:rPr>
                <w:rFonts w:ascii="Times New Roman" w:eastAsia="Calibri" w:hAnsi="Times New Roman" w:cs="Times New Roman"/>
                <w:bCs/>
                <w:sz w:val="24"/>
                <w:szCs w:val="24"/>
              </w:rPr>
            </w:pPr>
            <w:r w:rsidRPr="00FA4C3B">
              <w:rPr>
                <w:rFonts w:ascii="Times New Roman" w:eastAsia="Calibri" w:hAnsi="Times New Roman" w:cs="Times New Roman"/>
                <w:bCs/>
                <w:sz w:val="24"/>
                <w:szCs w:val="24"/>
              </w:rPr>
              <w:t>No change orders will be provided for unforeseen hazardous materials except for contaminated soils. The bidder should provide a breakdown of costs in their cost estimate for all (not only asbestos) hazardous material testing, planni</w:t>
            </w:r>
            <w:r>
              <w:rPr>
                <w:rFonts w:ascii="Times New Roman" w:eastAsia="Calibri" w:hAnsi="Times New Roman" w:cs="Times New Roman"/>
                <w:bCs/>
                <w:sz w:val="24"/>
                <w:szCs w:val="24"/>
              </w:rPr>
              <w:t>ng, abatement, and monitoring</w:t>
            </w:r>
            <w:r w:rsidRPr="00FA4C3B">
              <w:rPr>
                <w:rFonts w:ascii="Times New Roman" w:eastAsia="Calibri" w:hAnsi="Times New Roman" w:cs="Times New Roman"/>
                <w:bCs/>
                <w:sz w:val="24"/>
                <w:szCs w:val="24"/>
              </w:rPr>
              <w:t>.</w:t>
            </w:r>
          </w:p>
        </w:tc>
      </w:tr>
      <w:tr w:rsidR="00636799" w:rsidRPr="001753AD" w14:paraId="7A52E8B4" w14:textId="77777777" w:rsidTr="00693381">
        <w:trPr>
          <w:cantSplit/>
          <w:trHeight w:val="440"/>
        </w:trPr>
        <w:tc>
          <w:tcPr>
            <w:tcW w:w="1083" w:type="dxa"/>
          </w:tcPr>
          <w:p w14:paraId="379EC7E1" w14:textId="24C747F8"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22" w:type="dxa"/>
          </w:tcPr>
          <w:p w14:paraId="6166C845" w14:textId="3F6C5047" w:rsidR="00636799" w:rsidRPr="001753AD" w:rsidRDefault="00E776D2" w:rsidP="001753AD">
            <w:pPr>
              <w:jc w:val="both"/>
              <w:rPr>
                <w:rFonts w:ascii="Times New Roman" w:hAnsi="Times New Roman" w:cs="Times New Roman"/>
                <w:sz w:val="24"/>
              </w:rPr>
            </w:pPr>
            <w:r w:rsidRPr="00E776D2">
              <w:rPr>
                <w:rFonts w:ascii="Times New Roman" w:hAnsi="Times New Roman" w:cs="Times New Roman"/>
                <w:sz w:val="24"/>
              </w:rPr>
              <w:t>Scope of Work requires an erosion and sediment plan with the City.  The City website requires sites larger than an acre or sites less than an acre but part of a common development to obtain a VSMP permit from DEQ.  Would the SWPPP plan need to be approved by the City or DEQ?</w:t>
            </w:r>
          </w:p>
        </w:tc>
        <w:tc>
          <w:tcPr>
            <w:tcW w:w="4086" w:type="dxa"/>
          </w:tcPr>
          <w:p w14:paraId="3F1DEE7C" w14:textId="4BED9274" w:rsidR="00636799" w:rsidRPr="001753AD" w:rsidRDefault="00E776D2" w:rsidP="00C2455A">
            <w:pPr>
              <w:contextualSpacing/>
              <w:jc w:val="both"/>
              <w:rPr>
                <w:rFonts w:ascii="Times New Roman" w:eastAsia="Calibri" w:hAnsi="Times New Roman" w:cs="Times New Roman"/>
                <w:bCs/>
                <w:sz w:val="24"/>
                <w:szCs w:val="24"/>
              </w:rPr>
            </w:pPr>
            <w:r w:rsidRPr="00E776D2">
              <w:rPr>
                <w:rFonts w:ascii="Times New Roman" w:eastAsia="Calibri" w:hAnsi="Times New Roman" w:cs="Times New Roman"/>
                <w:bCs/>
                <w:sz w:val="24"/>
                <w:szCs w:val="24"/>
              </w:rPr>
              <w:t>The</w:t>
            </w:r>
            <w:r w:rsidR="00C2455A">
              <w:rPr>
                <w:rFonts w:ascii="Times New Roman" w:eastAsia="Calibri" w:hAnsi="Times New Roman" w:cs="Times New Roman"/>
                <w:bCs/>
                <w:sz w:val="24"/>
                <w:szCs w:val="24"/>
              </w:rPr>
              <w:t xml:space="preserve"> City will provide an approved E&amp;S p</w:t>
            </w:r>
            <w:r w:rsidRPr="00E776D2">
              <w:rPr>
                <w:rFonts w:ascii="Times New Roman" w:eastAsia="Calibri" w:hAnsi="Times New Roman" w:cs="Times New Roman"/>
                <w:bCs/>
                <w:sz w:val="24"/>
                <w:szCs w:val="24"/>
              </w:rPr>
              <w:t xml:space="preserve">lan and </w:t>
            </w:r>
            <w:r w:rsidR="00C2455A">
              <w:rPr>
                <w:rFonts w:ascii="Times New Roman" w:eastAsia="Calibri" w:hAnsi="Times New Roman" w:cs="Times New Roman"/>
                <w:bCs/>
                <w:sz w:val="24"/>
                <w:szCs w:val="24"/>
              </w:rPr>
              <w:t>SWPPP for the project.</w:t>
            </w:r>
          </w:p>
        </w:tc>
      </w:tr>
      <w:tr w:rsidR="00636799" w:rsidRPr="001753AD" w14:paraId="6EAE00C5" w14:textId="77777777" w:rsidTr="00693381">
        <w:trPr>
          <w:cantSplit/>
          <w:trHeight w:val="440"/>
        </w:trPr>
        <w:tc>
          <w:tcPr>
            <w:tcW w:w="1083" w:type="dxa"/>
          </w:tcPr>
          <w:p w14:paraId="6E49D2BB" w14:textId="0C20C2F3"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4222" w:type="dxa"/>
          </w:tcPr>
          <w:p w14:paraId="212633AA" w14:textId="286AB6C5" w:rsidR="00636799" w:rsidRPr="001753AD" w:rsidRDefault="004368FB" w:rsidP="001753AD">
            <w:pPr>
              <w:jc w:val="both"/>
              <w:rPr>
                <w:rFonts w:ascii="Times New Roman" w:hAnsi="Times New Roman" w:cs="Times New Roman"/>
                <w:sz w:val="24"/>
              </w:rPr>
            </w:pPr>
            <w:r w:rsidRPr="004368FB">
              <w:rPr>
                <w:rFonts w:ascii="Times New Roman" w:hAnsi="Times New Roman" w:cs="Times New Roman"/>
                <w:sz w:val="24"/>
              </w:rPr>
              <w:t>At the pre-bid meeting the City said that the site would be graded for sheet drainage.  If permanent E&amp;S measures beyond sheet grading are required by the City Engineering or DEQ would these be handled as a change to the contract?</w:t>
            </w:r>
          </w:p>
        </w:tc>
        <w:tc>
          <w:tcPr>
            <w:tcW w:w="4086" w:type="dxa"/>
          </w:tcPr>
          <w:p w14:paraId="5198D19B" w14:textId="14B794E3" w:rsidR="00636799" w:rsidRPr="001753AD" w:rsidRDefault="004368FB" w:rsidP="001753AD">
            <w:pPr>
              <w:contextualSpacing/>
              <w:jc w:val="both"/>
              <w:rPr>
                <w:rFonts w:ascii="Times New Roman" w:eastAsia="Calibri" w:hAnsi="Times New Roman" w:cs="Times New Roman"/>
                <w:bCs/>
                <w:sz w:val="24"/>
                <w:szCs w:val="24"/>
              </w:rPr>
            </w:pPr>
            <w:r w:rsidRPr="00E776D2">
              <w:rPr>
                <w:rFonts w:ascii="Times New Roman" w:eastAsia="Calibri" w:hAnsi="Times New Roman" w:cs="Times New Roman"/>
                <w:bCs/>
                <w:sz w:val="24"/>
                <w:szCs w:val="24"/>
              </w:rPr>
              <w:t>The</w:t>
            </w:r>
            <w:r>
              <w:rPr>
                <w:rFonts w:ascii="Times New Roman" w:eastAsia="Calibri" w:hAnsi="Times New Roman" w:cs="Times New Roman"/>
                <w:bCs/>
                <w:sz w:val="24"/>
                <w:szCs w:val="24"/>
              </w:rPr>
              <w:t xml:space="preserve"> City will provide an approved E&amp;S p</w:t>
            </w:r>
            <w:r w:rsidRPr="00E776D2">
              <w:rPr>
                <w:rFonts w:ascii="Times New Roman" w:eastAsia="Calibri" w:hAnsi="Times New Roman" w:cs="Times New Roman"/>
                <w:bCs/>
                <w:sz w:val="24"/>
                <w:szCs w:val="24"/>
              </w:rPr>
              <w:t xml:space="preserve">lan and </w:t>
            </w:r>
            <w:r>
              <w:rPr>
                <w:rFonts w:ascii="Times New Roman" w:eastAsia="Calibri" w:hAnsi="Times New Roman" w:cs="Times New Roman"/>
                <w:bCs/>
                <w:sz w:val="24"/>
                <w:szCs w:val="24"/>
              </w:rPr>
              <w:t>SWPPP for the project.</w:t>
            </w:r>
          </w:p>
        </w:tc>
      </w:tr>
      <w:tr w:rsidR="00636799" w:rsidRPr="001753AD" w14:paraId="1AA8E1D1" w14:textId="77777777" w:rsidTr="00693381">
        <w:trPr>
          <w:cantSplit/>
          <w:trHeight w:val="440"/>
        </w:trPr>
        <w:tc>
          <w:tcPr>
            <w:tcW w:w="1083" w:type="dxa"/>
          </w:tcPr>
          <w:p w14:paraId="13BBBDC5" w14:textId="5FE38D30"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4222" w:type="dxa"/>
          </w:tcPr>
          <w:p w14:paraId="246BEEDB" w14:textId="482A5B7D" w:rsidR="00636799" w:rsidRPr="001753AD" w:rsidRDefault="004368FB" w:rsidP="001753AD">
            <w:pPr>
              <w:jc w:val="both"/>
              <w:rPr>
                <w:rFonts w:ascii="Times New Roman" w:hAnsi="Times New Roman" w:cs="Times New Roman"/>
                <w:sz w:val="24"/>
              </w:rPr>
            </w:pPr>
            <w:r w:rsidRPr="004368FB">
              <w:rPr>
                <w:rFonts w:ascii="Times New Roman" w:hAnsi="Times New Roman" w:cs="Times New Roman"/>
                <w:sz w:val="24"/>
              </w:rPr>
              <w:t>The Scope of Work Section 14 says pavement removal is not required.  Most pavement will be disturbed due to utility removal in Scope of Work Section 5 &amp; 6.  Confirm there is no requirement for preservation of pavement or patching.</w:t>
            </w:r>
          </w:p>
        </w:tc>
        <w:tc>
          <w:tcPr>
            <w:tcW w:w="4086" w:type="dxa"/>
          </w:tcPr>
          <w:p w14:paraId="5BB71B8D" w14:textId="22BDA3BD" w:rsidR="0072044B" w:rsidRPr="001753AD" w:rsidRDefault="0072044B" w:rsidP="00876A05">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Note the identified</w:t>
            </w:r>
            <w:r w:rsidRPr="0072044B">
              <w:rPr>
                <w:rFonts w:ascii="Times New Roman" w:eastAsia="Calibri" w:hAnsi="Times New Roman" w:cs="Times New Roman"/>
                <w:bCs/>
                <w:sz w:val="24"/>
                <w:szCs w:val="24"/>
              </w:rPr>
              <w:t xml:space="preserve"> areas: generally, the main entry roads, main loop road and </w:t>
            </w:r>
            <w:r>
              <w:rPr>
                <w:rFonts w:ascii="Times New Roman" w:eastAsia="Calibri" w:hAnsi="Times New Roman" w:cs="Times New Roman"/>
                <w:bCs/>
                <w:sz w:val="24"/>
                <w:szCs w:val="24"/>
              </w:rPr>
              <w:t xml:space="preserve">marked </w:t>
            </w:r>
            <w:r w:rsidRPr="0072044B">
              <w:rPr>
                <w:rFonts w:ascii="Times New Roman" w:eastAsia="Calibri" w:hAnsi="Times New Roman" w:cs="Times New Roman"/>
                <w:bCs/>
                <w:sz w:val="24"/>
                <w:szCs w:val="24"/>
              </w:rPr>
              <w:t xml:space="preserve">parking lots.  These areas are to be preserved as useable roadways as defined by the City during and after all demolition and site restoration work.  The asphalt in the marked areas </w:t>
            </w:r>
            <w:r w:rsidR="00876A05">
              <w:rPr>
                <w:rFonts w:ascii="Times New Roman" w:eastAsia="Calibri" w:hAnsi="Times New Roman" w:cs="Times New Roman"/>
                <w:bCs/>
                <w:sz w:val="24"/>
                <w:szCs w:val="24"/>
              </w:rPr>
              <w:t>may</w:t>
            </w:r>
            <w:r w:rsidRPr="0072044B">
              <w:rPr>
                <w:rFonts w:ascii="Times New Roman" w:eastAsia="Calibri" w:hAnsi="Times New Roman" w:cs="Times New Roman"/>
                <w:bCs/>
                <w:sz w:val="24"/>
                <w:szCs w:val="24"/>
              </w:rPr>
              <w:t xml:space="preserve"> be removed to allow utility demolition and replaced with suitable, compacted subgrade material and topped with stone base and asphalt paving in thicknesses to match the existing paving profile.  All other asphalt areas can be travelled by the demolition contractor during the course of demolition operations, but must be maintained by the demolition contractor to provide non-broken pavement surfaces during and after all demolition and site restoration work is complete.</w:t>
            </w:r>
            <w:r w:rsidR="00AA61D8">
              <w:rPr>
                <w:rFonts w:ascii="Times New Roman" w:eastAsia="Calibri" w:hAnsi="Times New Roman" w:cs="Times New Roman"/>
                <w:bCs/>
                <w:sz w:val="24"/>
                <w:szCs w:val="24"/>
              </w:rPr>
              <w:t xml:space="preserve">  Refer to </w:t>
            </w:r>
            <w:r w:rsidR="00AA61D8" w:rsidRPr="005C1A88">
              <w:rPr>
                <w:rFonts w:ascii="Times New Roman" w:eastAsia="Calibri" w:hAnsi="Times New Roman" w:cs="Times New Roman"/>
                <w:b/>
                <w:bCs/>
                <w:sz w:val="24"/>
                <w:szCs w:val="24"/>
              </w:rPr>
              <w:t>Appendix G</w:t>
            </w:r>
            <w:r w:rsidR="00AA61D8">
              <w:rPr>
                <w:rFonts w:ascii="Times New Roman" w:eastAsia="Calibri" w:hAnsi="Times New Roman" w:cs="Times New Roman"/>
                <w:bCs/>
                <w:sz w:val="24"/>
                <w:szCs w:val="24"/>
              </w:rPr>
              <w:t xml:space="preserve">.  </w:t>
            </w:r>
          </w:p>
        </w:tc>
      </w:tr>
      <w:tr w:rsidR="00636799" w:rsidRPr="001753AD" w14:paraId="49C6BF7E" w14:textId="77777777" w:rsidTr="00693381">
        <w:trPr>
          <w:cantSplit/>
          <w:trHeight w:val="440"/>
        </w:trPr>
        <w:tc>
          <w:tcPr>
            <w:tcW w:w="1083" w:type="dxa"/>
          </w:tcPr>
          <w:p w14:paraId="4C9865BC" w14:textId="37AC4B05"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4222" w:type="dxa"/>
          </w:tcPr>
          <w:p w14:paraId="0D83AAAA" w14:textId="52ABBEF5" w:rsidR="00636799" w:rsidRPr="001753AD" w:rsidRDefault="00DB4B3B" w:rsidP="001753AD">
            <w:pPr>
              <w:jc w:val="both"/>
              <w:rPr>
                <w:rFonts w:ascii="Times New Roman" w:hAnsi="Times New Roman" w:cs="Times New Roman"/>
                <w:sz w:val="24"/>
              </w:rPr>
            </w:pPr>
            <w:r w:rsidRPr="00DB4B3B">
              <w:rPr>
                <w:rFonts w:ascii="Times New Roman" w:hAnsi="Times New Roman" w:cs="Times New Roman"/>
                <w:sz w:val="24"/>
              </w:rPr>
              <w:t>The report provides only the laboratory analysis.  It does not identify the type of material sampled or the location of the material.  As such, there is no way to quantify the asbestos containing materials and provide a proposal for removal.  Are the full asbestos survey reports available for review?</w:t>
            </w:r>
          </w:p>
        </w:tc>
        <w:tc>
          <w:tcPr>
            <w:tcW w:w="4086" w:type="dxa"/>
          </w:tcPr>
          <w:p w14:paraId="0F36F0F6" w14:textId="5E514296" w:rsidR="00636799" w:rsidRPr="001753AD" w:rsidRDefault="00DB4B3B" w:rsidP="001753AD">
            <w:pPr>
              <w:contextualSpacing/>
              <w:jc w:val="both"/>
              <w:rPr>
                <w:rFonts w:ascii="Times New Roman" w:eastAsia="Calibri" w:hAnsi="Times New Roman" w:cs="Times New Roman"/>
                <w:bCs/>
                <w:sz w:val="24"/>
                <w:szCs w:val="24"/>
              </w:rPr>
            </w:pPr>
            <w:r w:rsidRPr="00DB4B3B">
              <w:rPr>
                <w:rFonts w:ascii="Times New Roman" w:eastAsia="Calibri" w:hAnsi="Times New Roman" w:cs="Times New Roman"/>
                <w:bCs/>
                <w:sz w:val="24"/>
                <w:szCs w:val="24"/>
              </w:rPr>
              <w:t>The City has provided reports on hazardous materials that contain information such as type of material and location of material on the City website; however, the City makes no claims as to the completeness of these reports, and they are for informational purposes only.</w:t>
            </w:r>
          </w:p>
        </w:tc>
      </w:tr>
      <w:tr w:rsidR="00636799" w:rsidRPr="001753AD" w14:paraId="79A67E95" w14:textId="77777777" w:rsidTr="00693381">
        <w:trPr>
          <w:cantSplit/>
          <w:trHeight w:val="440"/>
        </w:trPr>
        <w:tc>
          <w:tcPr>
            <w:tcW w:w="1083" w:type="dxa"/>
          </w:tcPr>
          <w:p w14:paraId="22DF8267" w14:textId="67C6DDD3"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4222" w:type="dxa"/>
          </w:tcPr>
          <w:p w14:paraId="739A68A8" w14:textId="339D6CAC" w:rsidR="00636799" w:rsidRPr="001753AD" w:rsidRDefault="00DB4B3B" w:rsidP="001753AD">
            <w:pPr>
              <w:jc w:val="both"/>
              <w:rPr>
                <w:rFonts w:ascii="Times New Roman" w:hAnsi="Times New Roman" w:cs="Times New Roman"/>
                <w:sz w:val="24"/>
              </w:rPr>
            </w:pPr>
            <w:r w:rsidRPr="00DB4B3B">
              <w:rPr>
                <w:rFonts w:ascii="Times New Roman" w:hAnsi="Times New Roman" w:cs="Times New Roman"/>
                <w:sz w:val="24"/>
              </w:rPr>
              <w:t>Regarding the crushing of masonry materials, the Scope of Work mentions testing per requirements of AASHTO T191.  AASHTO T191 is intended for material (2) inch minus. Please confirm if this will be the size requirement for the crushing.</w:t>
            </w:r>
          </w:p>
        </w:tc>
        <w:tc>
          <w:tcPr>
            <w:tcW w:w="4086" w:type="dxa"/>
          </w:tcPr>
          <w:p w14:paraId="05ADDA90" w14:textId="7D48A7CB" w:rsidR="00636799" w:rsidRPr="001753AD" w:rsidRDefault="00DB4B3B" w:rsidP="001753AD">
            <w:pPr>
              <w:contextualSpacing/>
              <w:jc w:val="both"/>
              <w:rPr>
                <w:rFonts w:ascii="Times New Roman" w:eastAsia="Calibri" w:hAnsi="Times New Roman" w:cs="Times New Roman"/>
                <w:bCs/>
                <w:sz w:val="24"/>
                <w:szCs w:val="24"/>
              </w:rPr>
            </w:pPr>
            <w:r w:rsidRPr="00DB4B3B">
              <w:rPr>
                <w:rFonts w:ascii="Times New Roman" w:eastAsia="Calibri" w:hAnsi="Times New Roman" w:cs="Times New Roman"/>
                <w:bCs/>
                <w:sz w:val="24"/>
                <w:szCs w:val="24"/>
              </w:rPr>
              <w:t>Any clean concrete, asphalt, or masonry rubble can be crushed and used as fill and placed in lifts under the direction of the geotechnical engineer with lift depth and maximum particle size allowed in each lift to be determined by the geotechnical engineer.</w:t>
            </w:r>
          </w:p>
        </w:tc>
      </w:tr>
      <w:tr w:rsidR="00636799" w:rsidRPr="001753AD" w14:paraId="3C6C5010" w14:textId="77777777" w:rsidTr="00693381">
        <w:trPr>
          <w:cantSplit/>
          <w:trHeight w:val="440"/>
        </w:trPr>
        <w:tc>
          <w:tcPr>
            <w:tcW w:w="1083" w:type="dxa"/>
          </w:tcPr>
          <w:p w14:paraId="7F40C502" w14:textId="5203518D" w:rsidR="00636799"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4222" w:type="dxa"/>
          </w:tcPr>
          <w:p w14:paraId="72D2DFB9" w14:textId="48592140" w:rsidR="00636799" w:rsidRPr="001753AD" w:rsidRDefault="00DB4B3B" w:rsidP="001753AD">
            <w:pPr>
              <w:jc w:val="both"/>
              <w:rPr>
                <w:rFonts w:ascii="Times New Roman" w:hAnsi="Times New Roman" w:cs="Times New Roman"/>
                <w:sz w:val="24"/>
              </w:rPr>
            </w:pPr>
            <w:r w:rsidRPr="00DB4B3B">
              <w:rPr>
                <w:rFonts w:ascii="Times New Roman" w:hAnsi="Times New Roman" w:cs="Times New Roman"/>
                <w:sz w:val="24"/>
              </w:rPr>
              <w:t>Will topsoil be required over fill areas?  If so, what are the topsoil specifications?</w:t>
            </w:r>
          </w:p>
        </w:tc>
        <w:tc>
          <w:tcPr>
            <w:tcW w:w="4086" w:type="dxa"/>
          </w:tcPr>
          <w:p w14:paraId="1EDDC21B" w14:textId="73A5867C" w:rsidR="00636799" w:rsidRPr="001753AD" w:rsidRDefault="00DB4B3B" w:rsidP="001753AD">
            <w:pPr>
              <w:contextualSpacing/>
              <w:jc w:val="both"/>
              <w:rPr>
                <w:rFonts w:ascii="Times New Roman" w:eastAsia="Calibri" w:hAnsi="Times New Roman" w:cs="Times New Roman"/>
                <w:bCs/>
                <w:sz w:val="24"/>
                <w:szCs w:val="24"/>
              </w:rPr>
            </w:pPr>
            <w:r w:rsidRPr="00DB4B3B">
              <w:rPr>
                <w:rFonts w:ascii="Times New Roman" w:eastAsia="Calibri" w:hAnsi="Times New Roman" w:cs="Times New Roman"/>
                <w:bCs/>
                <w:sz w:val="24"/>
                <w:szCs w:val="24"/>
              </w:rPr>
              <w:t>Contractor shall use onsite material to cap rubble fill areas, and add soil amendments as necessary to achieve stable vegetation that will withstand a “second cut” of normal mowing.</w:t>
            </w:r>
          </w:p>
        </w:tc>
      </w:tr>
      <w:tr w:rsidR="00DB4B3B" w:rsidRPr="001753AD" w14:paraId="6BCFBA28" w14:textId="77777777" w:rsidTr="00693381">
        <w:trPr>
          <w:cantSplit/>
          <w:trHeight w:val="440"/>
        </w:trPr>
        <w:tc>
          <w:tcPr>
            <w:tcW w:w="1083" w:type="dxa"/>
          </w:tcPr>
          <w:p w14:paraId="2CA501DA" w14:textId="645C7459" w:rsidR="00DB4B3B"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4222" w:type="dxa"/>
          </w:tcPr>
          <w:p w14:paraId="5144C5C9" w14:textId="17FE7A60" w:rsidR="00DB4B3B" w:rsidRPr="00DB4B3B" w:rsidRDefault="00DB4B3B" w:rsidP="001753AD">
            <w:pPr>
              <w:jc w:val="both"/>
              <w:rPr>
                <w:rFonts w:ascii="Times New Roman" w:hAnsi="Times New Roman" w:cs="Times New Roman"/>
                <w:sz w:val="24"/>
              </w:rPr>
            </w:pPr>
            <w:r w:rsidRPr="00DB4B3B">
              <w:rPr>
                <w:rFonts w:ascii="Times New Roman" w:hAnsi="Times New Roman" w:cs="Times New Roman"/>
                <w:sz w:val="24"/>
              </w:rPr>
              <w:t>What is bidder to assume will be the quantity of product/ residual present in the AST’s and UST’s?</w:t>
            </w:r>
          </w:p>
        </w:tc>
        <w:tc>
          <w:tcPr>
            <w:tcW w:w="4086" w:type="dxa"/>
          </w:tcPr>
          <w:p w14:paraId="566495B2" w14:textId="05341A92" w:rsidR="00DB4B3B" w:rsidRPr="001753AD" w:rsidRDefault="00387C29" w:rsidP="001753AD">
            <w:pPr>
              <w:contextualSpacing/>
              <w:jc w:val="both"/>
              <w:rPr>
                <w:rFonts w:ascii="Times New Roman" w:eastAsia="Calibri" w:hAnsi="Times New Roman" w:cs="Times New Roman"/>
                <w:bCs/>
                <w:sz w:val="24"/>
                <w:szCs w:val="24"/>
              </w:rPr>
            </w:pPr>
            <w:r w:rsidRPr="00387C29">
              <w:rPr>
                <w:rFonts w:ascii="Times New Roman" w:eastAsia="Calibri" w:hAnsi="Times New Roman" w:cs="Times New Roman"/>
                <w:bCs/>
                <w:sz w:val="24"/>
                <w:szCs w:val="24"/>
              </w:rPr>
              <w:t>The bidder should assume that no product is in the AST’s and UST’s.</w:t>
            </w:r>
          </w:p>
        </w:tc>
      </w:tr>
      <w:tr w:rsidR="00DB4B3B" w:rsidRPr="001753AD" w14:paraId="691598A3" w14:textId="77777777" w:rsidTr="00693381">
        <w:trPr>
          <w:cantSplit/>
          <w:trHeight w:val="440"/>
        </w:trPr>
        <w:tc>
          <w:tcPr>
            <w:tcW w:w="1083" w:type="dxa"/>
          </w:tcPr>
          <w:p w14:paraId="5A98DAC9" w14:textId="5338CDC7" w:rsidR="00DB4B3B"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4222" w:type="dxa"/>
          </w:tcPr>
          <w:p w14:paraId="350E276A" w14:textId="070157D1" w:rsidR="00DB4B3B" w:rsidRPr="00DB4B3B" w:rsidRDefault="00DB4B3B" w:rsidP="001753AD">
            <w:pPr>
              <w:jc w:val="both"/>
              <w:rPr>
                <w:rFonts w:ascii="Times New Roman" w:hAnsi="Times New Roman" w:cs="Times New Roman"/>
                <w:sz w:val="24"/>
              </w:rPr>
            </w:pPr>
            <w:r w:rsidRPr="00DB4B3B">
              <w:rPr>
                <w:rFonts w:ascii="Times New Roman" w:hAnsi="Times New Roman" w:cs="Times New Roman"/>
                <w:sz w:val="24"/>
              </w:rPr>
              <w:t>Per the VA asbestos regulations- the owner needs to provide 3rd party air monitoring for all friable removal. Please confirm this is an accurate statement.</w:t>
            </w:r>
          </w:p>
        </w:tc>
        <w:tc>
          <w:tcPr>
            <w:tcW w:w="4086" w:type="dxa"/>
          </w:tcPr>
          <w:p w14:paraId="7B0AD18A" w14:textId="31EB4124" w:rsidR="00DB4B3B" w:rsidRPr="001753AD" w:rsidRDefault="0072044B" w:rsidP="001753AD">
            <w:pPr>
              <w:contextualSpacing/>
              <w:jc w:val="both"/>
              <w:rPr>
                <w:rFonts w:ascii="Times New Roman" w:eastAsia="Calibri" w:hAnsi="Times New Roman" w:cs="Times New Roman"/>
                <w:bCs/>
                <w:sz w:val="24"/>
                <w:szCs w:val="24"/>
              </w:rPr>
            </w:pPr>
            <w:r w:rsidRPr="0072044B">
              <w:rPr>
                <w:rFonts w:ascii="Times New Roman" w:eastAsia="Calibri" w:hAnsi="Times New Roman" w:cs="Times New Roman"/>
                <w:bCs/>
                <w:sz w:val="24"/>
                <w:szCs w:val="24"/>
              </w:rPr>
              <w:t>The contractor is responsible for performing asbestos abatement design, phasing, abatement, and monitoring.</w:t>
            </w:r>
          </w:p>
        </w:tc>
      </w:tr>
      <w:tr w:rsidR="00DB4B3B" w:rsidRPr="001753AD" w14:paraId="0EC79320" w14:textId="77777777" w:rsidTr="00693381">
        <w:trPr>
          <w:cantSplit/>
          <w:trHeight w:val="440"/>
        </w:trPr>
        <w:tc>
          <w:tcPr>
            <w:tcW w:w="1083" w:type="dxa"/>
          </w:tcPr>
          <w:p w14:paraId="56EB8091" w14:textId="453B3B3C" w:rsidR="00DB4B3B"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4222" w:type="dxa"/>
          </w:tcPr>
          <w:p w14:paraId="23B02E24" w14:textId="65AED107" w:rsidR="00DB4B3B" w:rsidRPr="00DB4B3B" w:rsidRDefault="00DB4B3B" w:rsidP="001753AD">
            <w:pPr>
              <w:jc w:val="both"/>
              <w:rPr>
                <w:rFonts w:ascii="Times New Roman" w:hAnsi="Times New Roman" w:cs="Times New Roman"/>
                <w:sz w:val="24"/>
              </w:rPr>
            </w:pPr>
            <w:r w:rsidRPr="00DB4B3B">
              <w:rPr>
                <w:rFonts w:ascii="Times New Roman" w:hAnsi="Times New Roman" w:cs="Times New Roman"/>
                <w:sz w:val="24"/>
              </w:rPr>
              <w:t>Will the city provide a proposed abatement schedule for bidding purposes?</w:t>
            </w:r>
          </w:p>
        </w:tc>
        <w:tc>
          <w:tcPr>
            <w:tcW w:w="4086" w:type="dxa"/>
          </w:tcPr>
          <w:p w14:paraId="38E6F165" w14:textId="3C2A5BA4" w:rsidR="00DB4B3B" w:rsidRPr="001753AD" w:rsidRDefault="008D5235" w:rsidP="001753AD">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No.</w:t>
            </w:r>
          </w:p>
        </w:tc>
      </w:tr>
      <w:tr w:rsidR="00DB4B3B" w:rsidRPr="001753AD" w14:paraId="379BA376" w14:textId="77777777" w:rsidTr="00693381">
        <w:trPr>
          <w:cantSplit/>
          <w:trHeight w:val="440"/>
        </w:trPr>
        <w:tc>
          <w:tcPr>
            <w:tcW w:w="1083" w:type="dxa"/>
          </w:tcPr>
          <w:p w14:paraId="7EFCFDF5" w14:textId="0C5C54E0" w:rsidR="00DB4B3B"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4222" w:type="dxa"/>
          </w:tcPr>
          <w:p w14:paraId="4AA79BEF" w14:textId="228F8DB4" w:rsidR="00DB4B3B" w:rsidRPr="00DB4B3B" w:rsidRDefault="004C5180" w:rsidP="001753AD">
            <w:pPr>
              <w:jc w:val="both"/>
              <w:rPr>
                <w:rFonts w:ascii="Times New Roman" w:hAnsi="Times New Roman" w:cs="Times New Roman"/>
                <w:sz w:val="24"/>
              </w:rPr>
            </w:pPr>
            <w:r w:rsidRPr="004C5180">
              <w:rPr>
                <w:rFonts w:ascii="Times New Roman" w:hAnsi="Times New Roman" w:cs="Times New Roman"/>
                <w:sz w:val="24"/>
              </w:rPr>
              <w:t>Will the city be providing a Erosion Control plan?  We will need to have a plan showing where to install silt fence, diversion ditches, type of seed, etc.</w:t>
            </w:r>
          </w:p>
        </w:tc>
        <w:tc>
          <w:tcPr>
            <w:tcW w:w="4086" w:type="dxa"/>
          </w:tcPr>
          <w:p w14:paraId="1B160A73" w14:textId="445AC8AF" w:rsidR="00DB4B3B" w:rsidRPr="001753AD" w:rsidRDefault="008D5235" w:rsidP="001753AD">
            <w:pPr>
              <w:contextualSpacing/>
              <w:jc w:val="both"/>
              <w:rPr>
                <w:rFonts w:ascii="Times New Roman" w:eastAsia="Calibri" w:hAnsi="Times New Roman" w:cs="Times New Roman"/>
                <w:bCs/>
                <w:sz w:val="24"/>
                <w:szCs w:val="24"/>
              </w:rPr>
            </w:pPr>
            <w:r w:rsidRPr="008D5235">
              <w:rPr>
                <w:rFonts w:ascii="Times New Roman" w:eastAsia="Calibri" w:hAnsi="Times New Roman" w:cs="Times New Roman"/>
                <w:bCs/>
                <w:sz w:val="24"/>
                <w:szCs w:val="24"/>
              </w:rPr>
              <w:t>The City will provide an approved E&amp;S plan and SWPPP for the project.</w:t>
            </w:r>
          </w:p>
        </w:tc>
      </w:tr>
      <w:tr w:rsidR="00DB4B3B" w:rsidRPr="001753AD" w14:paraId="34E74B0E" w14:textId="77777777" w:rsidTr="00693381">
        <w:trPr>
          <w:cantSplit/>
          <w:trHeight w:val="440"/>
        </w:trPr>
        <w:tc>
          <w:tcPr>
            <w:tcW w:w="1083" w:type="dxa"/>
          </w:tcPr>
          <w:p w14:paraId="49137A6E" w14:textId="4D30D450" w:rsidR="00DB4B3B" w:rsidRPr="001753AD" w:rsidRDefault="00DB4B3B" w:rsidP="001753AD">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4222" w:type="dxa"/>
          </w:tcPr>
          <w:p w14:paraId="0B4CAC73" w14:textId="055B7103" w:rsidR="00DB4B3B" w:rsidRPr="00DB4B3B" w:rsidRDefault="004C5180" w:rsidP="001753AD">
            <w:pPr>
              <w:jc w:val="both"/>
              <w:rPr>
                <w:rFonts w:ascii="Times New Roman" w:hAnsi="Times New Roman" w:cs="Times New Roman"/>
                <w:sz w:val="24"/>
              </w:rPr>
            </w:pPr>
            <w:r w:rsidRPr="004C5180">
              <w:rPr>
                <w:rFonts w:ascii="Times New Roman" w:hAnsi="Times New Roman" w:cs="Times New Roman"/>
                <w:sz w:val="24"/>
              </w:rPr>
              <w:t>What is the determination as to when the project is complete?  Upon establishing growth?  After the 1st or 2nd cut?</w:t>
            </w:r>
          </w:p>
        </w:tc>
        <w:tc>
          <w:tcPr>
            <w:tcW w:w="4086" w:type="dxa"/>
          </w:tcPr>
          <w:p w14:paraId="17806D21" w14:textId="3564C47C" w:rsidR="00DB4B3B" w:rsidRPr="001753AD" w:rsidRDefault="004C5180" w:rsidP="00C56AB0">
            <w:pPr>
              <w:contextualSpacing/>
              <w:jc w:val="both"/>
              <w:rPr>
                <w:rFonts w:ascii="Times New Roman" w:eastAsia="Calibri" w:hAnsi="Times New Roman" w:cs="Times New Roman"/>
                <w:bCs/>
                <w:sz w:val="24"/>
                <w:szCs w:val="24"/>
              </w:rPr>
            </w:pPr>
            <w:r w:rsidRPr="004C5180">
              <w:rPr>
                <w:rFonts w:ascii="Times New Roman" w:eastAsia="Calibri" w:hAnsi="Times New Roman" w:cs="Times New Roman"/>
                <w:bCs/>
                <w:sz w:val="24"/>
                <w:szCs w:val="24"/>
              </w:rPr>
              <w:t>Contractor shall achieve a full stand stable vegetation that will withstand a “second cut” of normal mowing.</w:t>
            </w:r>
          </w:p>
        </w:tc>
      </w:tr>
    </w:tbl>
    <w:p w14:paraId="354D3286" w14:textId="77777777" w:rsidR="0011633D" w:rsidRPr="00A55070" w:rsidRDefault="0011633D" w:rsidP="00A55070">
      <w:pPr>
        <w:spacing w:after="120" w:line="240" w:lineRule="auto"/>
        <w:jc w:val="both"/>
        <w:rPr>
          <w:rFonts w:ascii="Times New Roman" w:eastAsia="Calibri" w:hAnsi="Times New Roman" w:cs="Times New Roman"/>
          <w:b/>
          <w:bCs/>
          <w:sz w:val="24"/>
          <w:szCs w:val="24"/>
          <w:u w:val="single"/>
        </w:rPr>
      </w:pPr>
    </w:p>
    <w:p w14:paraId="10BBB828" w14:textId="1EBF2F91" w:rsidR="00C14301" w:rsidRPr="00C14301" w:rsidRDefault="00C14301" w:rsidP="009E7A01">
      <w:pPr>
        <w:pStyle w:val="ListParagraph"/>
        <w:spacing w:after="0" w:line="240" w:lineRule="auto"/>
        <w:ind w:left="1440"/>
        <w:rPr>
          <w:rFonts w:ascii="Times New Roman" w:hAnsi="Times New Roman" w:cs="Times New Roman"/>
          <w:iCs/>
          <w:sz w:val="24"/>
          <w:szCs w:val="24"/>
        </w:rPr>
      </w:pPr>
    </w:p>
    <w:p w14:paraId="666E3A11" w14:textId="746A56F9" w:rsidR="002F624C" w:rsidRDefault="002F624C" w:rsidP="00A55070">
      <w:pPr>
        <w:spacing w:after="120" w:line="24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New</w:t>
      </w:r>
      <w:r w:rsidR="00693381">
        <w:rPr>
          <w:rFonts w:ascii="Times New Roman" w:eastAsia="Calibri" w:hAnsi="Times New Roman" w:cs="Times New Roman"/>
          <w:b/>
          <w:bCs/>
          <w:sz w:val="24"/>
          <w:szCs w:val="24"/>
          <w:u w:val="single"/>
        </w:rPr>
        <w:t xml:space="preserve"> Files</w:t>
      </w:r>
    </w:p>
    <w:p w14:paraId="1427F564" w14:textId="06B2D030" w:rsidR="002F624C" w:rsidRPr="002F624C" w:rsidRDefault="002F624C" w:rsidP="002F624C">
      <w:pPr>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files will be posted on the above referenced websites.</w:t>
      </w:r>
    </w:p>
    <w:p w14:paraId="7B1BB51F" w14:textId="3556A665" w:rsidR="00E944D3" w:rsidRDefault="00693381" w:rsidP="0044689F">
      <w:pPr>
        <w:pStyle w:val="ListParagraph"/>
        <w:numPr>
          <w:ilvl w:val="0"/>
          <w:numId w:val="4"/>
        </w:numPr>
        <w:spacing w:after="120" w:line="240" w:lineRule="auto"/>
        <w:jc w:val="both"/>
        <w:rPr>
          <w:rFonts w:ascii="Times New Roman" w:eastAsia="Calibri" w:hAnsi="Times New Roman" w:cs="Times New Roman"/>
          <w:sz w:val="24"/>
          <w:szCs w:val="24"/>
        </w:rPr>
      </w:pPr>
      <w:r w:rsidRPr="005C1A88">
        <w:rPr>
          <w:rFonts w:ascii="Times New Roman" w:eastAsia="Calibri" w:hAnsi="Times New Roman" w:cs="Times New Roman"/>
          <w:b/>
          <w:sz w:val="24"/>
          <w:szCs w:val="24"/>
        </w:rPr>
        <w:t>Appendix G</w:t>
      </w:r>
      <w:r>
        <w:rPr>
          <w:rFonts w:ascii="Times New Roman" w:eastAsia="Calibri" w:hAnsi="Times New Roman" w:cs="Times New Roman"/>
          <w:sz w:val="24"/>
          <w:szCs w:val="24"/>
        </w:rPr>
        <w:t xml:space="preserve"> - </w:t>
      </w:r>
      <w:r w:rsidR="005C1A88">
        <w:rPr>
          <w:rFonts w:ascii="Times New Roman" w:eastAsia="Calibri" w:hAnsi="Times New Roman" w:cs="Times New Roman"/>
          <w:sz w:val="24"/>
          <w:szCs w:val="24"/>
        </w:rPr>
        <w:t>Map</w:t>
      </w:r>
      <w:r w:rsidR="0044689F">
        <w:rPr>
          <w:rFonts w:ascii="Times New Roman" w:eastAsia="Calibri" w:hAnsi="Times New Roman" w:cs="Times New Roman"/>
          <w:sz w:val="24"/>
          <w:szCs w:val="24"/>
        </w:rPr>
        <w:t xml:space="preserve"> identifying current asphalt pavement </w:t>
      </w:r>
      <w:r w:rsidR="005C1A88">
        <w:rPr>
          <w:rFonts w:ascii="Times New Roman" w:eastAsia="Calibri" w:hAnsi="Times New Roman" w:cs="Times New Roman"/>
          <w:sz w:val="24"/>
          <w:szCs w:val="24"/>
        </w:rPr>
        <w:t xml:space="preserve">and parking lots </w:t>
      </w:r>
      <w:r w:rsidR="0044689F">
        <w:rPr>
          <w:rFonts w:ascii="Times New Roman" w:eastAsia="Calibri" w:hAnsi="Times New Roman" w:cs="Times New Roman"/>
          <w:sz w:val="24"/>
          <w:szCs w:val="24"/>
        </w:rPr>
        <w:t>that shall be protected</w:t>
      </w:r>
      <w:r w:rsidR="005C1A88">
        <w:rPr>
          <w:rFonts w:ascii="Times New Roman" w:eastAsia="Calibri" w:hAnsi="Times New Roman" w:cs="Times New Roman"/>
          <w:sz w:val="24"/>
          <w:szCs w:val="24"/>
        </w:rPr>
        <w:t>,</w:t>
      </w:r>
      <w:r w:rsidR="0044689F">
        <w:rPr>
          <w:rFonts w:ascii="Times New Roman" w:eastAsia="Calibri" w:hAnsi="Times New Roman" w:cs="Times New Roman"/>
          <w:sz w:val="24"/>
          <w:szCs w:val="24"/>
        </w:rPr>
        <w:t xml:space="preserve"> </w:t>
      </w:r>
      <w:r w:rsidR="005C1A88">
        <w:rPr>
          <w:rFonts w:ascii="Times New Roman" w:eastAsia="Calibri" w:hAnsi="Times New Roman" w:cs="Times New Roman"/>
          <w:sz w:val="24"/>
          <w:szCs w:val="24"/>
        </w:rPr>
        <w:t>but</w:t>
      </w:r>
      <w:r w:rsidR="0044689F">
        <w:rPr>
          <w:rFonts w:ascii="Times New Roman" w:eastAsia="Calibri" w:hAnsi="Times New Roman" w:cs="Times New Roman"/>
          <w:sz w:val="24"/>
          <w:szCs w:val="24"/>
        </w:rPr>
        <w:t xml:space="preserve"> if used</w:t>
      </w:r>
      <w:r w:rsidR="005C1A88">
        <w:rPr>
          <w:rFonts w:ascii="Times New Roman" w:eastAsia="Calibri" w:hAnsi="Times New Roman" w:cs="Times New Roman"/>
          <w:sz w:val="24"/>
          <w:szCs w:val="24"/>
        </w:rPr>
        <w:t>, destroyed, or removed</w:t>
      </w:r>
      <w:r w:rsidR="0044689F">
        <w:rPr>
          <w:rFonts w:ascii="Times New Roman" w:eastAsia="Calibri" w:hAnsi="Times New Roman" w:cs="Times New Roman"/>
          <w:sz w:val="24"/>
          <w:szCs w:val="24"/>
        </w:rPr>
        <w:t xml:space="preserve"> </w:t>
      </w:r>
      <w:r w:rsidR="005C1A88">
        <w:rPr>
          <w:rFonts w:ascii="Times New Roman" w:eastAsia="Calibri" w:hAnsi="Times New Roman" w:cs="Times New Roman"/>
          <w:sz w:val="24"/>
          <w:szCs w:val="24"/>
        </w:rPr>
        <w:t>during demolition</w:t>
      </w:r>
      <w:r w:rsidR="0044689F">
        <w:rPr>
          <w:rFonts w:ascii="Times New Roman" w:eastAsia="Calibri" w:hAnsi="Times New Roman" w:cs="Times New Roman"/>
          <w:sz w:val="24"/>
          <w:szCs w:val="24"/>
        </w:rPr>
        <w:t xml:space="preserve">, </w:t>
      </w:r>
      <w:r w:rsidR="005C1A88">
        <w:rPr>
          <w:rFonts w:ascii="Times New Roman" w:eastAsia="Calibri" w:hAnsi="Times New Roman" w:cs="Times New Roman"/>
          <w:sz w:val="24"/>
          <w:szCs w:val="24"/>
        </w:rPr>
        <w:t xml:space="preserve">shall </w:t>
      </w:r>
      <w:r w:rsidR="0044689F">
        <w:rPr>
          <w:rFonts w:ascii="Times New Roman" w:eastAsia="Calibri" w:hAnsi="Times New Roman" w:cs="Times New Roman"/>
          <w:sz w:val="24"/>
          <w:szCs w:val="24"/>
        </w:rPr>
        <w:t>be restored to pre-demolition conditions.</w:t>
      </w:r>
    </w:p>
    <w:p w14:paraId="193386C6" w14:textId="77777777" w:rsidR="00113B2B" w:rsidRDefault="00113B2B" w:rsidP="00113B2B">
      <w:pPr>
        <w:pStyle w:val="ListParagraph"/>
        <w:spacing w:after="120" w:line="240" w:lineRule="auto"/>
        <w:jc w:val="both"/>
        <w:rPr>
          <w:rFonts w:ascii="Times New Roman" w:eastAsia="Calibri" w:hAnsi="Times New Roman" w:cs="Times New Roman"/>
          <w:sz w:val="24"/>
          <w:szCs w:val="24"/>
        </w:rPr>
      </w:pPr>
    </w:p>
    <w:p w14:paraId="48BE8AC7" w14:textId="08353EC4" w:rsidR="007838CB" w:rsidRPr="002F624C" w:rsidRDefault="00DC2A5F" w:rsidP="00DC2A5F">
      <w:pPr>
        <w:pStyle w:val="ListParagraph"/>
        <w:numPr>
          <w:ilvl w:val="0"/>
          <w:numId w:val="4"/>
        </w:numPr>
        <w:spacing w:after="120" w:line="240" w:lineRule="auto"/>
        <w:jc w:val="both"/>
        <w:rPr>
          <w:rFonts w:ascii="Times New Roman" w:eastAsia="Calibri" w:hAnsi="Times New Roman" w:cs="Times New Roman"/>
          <w:sz w:val="24"/>
          <w:szCs w:val="24"/>
        </w:rPr>
      </w:pPr>
      <w:r w:rsidRPr="005C1A88">
        <w:rPr>
          <w:rFonts w:ascii="Times New Roman" w:eastAsia="Calibri" w:hAnsi="Times New Roman" w:cs="Times New Roman"/>
          <w:b/>
          <w:sz w:val="24"/>
          <w:szCs w:val="24"/>
        </w:rPr>
        <w:t>Appendix H</w:t>
      </w:r>
      <w:r>
        <w:rPr>
          <w:rFonts w:ascii="Times New Roman" w:eastAsia="Calibri" w:hAnsi="Times New Roman" w:cs="Times New Roman"/>
          <w:sz w:val="24"/>
          <w:szCs w:val="24"/>
        </w:rPr>
        <w:t xml:space="preserve"> - </w:t>
      </w:r>
      <w:r w:rsidRPr="00DC2A5F">
        <w:rPr>
          <w:rFonts w:ascii="Times New Roman" w:eastAsia="Calibri" w:hAnsi="Times New Roman" w:cs="Times New Roman"/>
          <w:sz w:val="24"/>
          <w:szCs w:val="24"/>
        </w:rPr>
        <w:t>Buildings 114 and 125 are being substituted for Buildings 123 and</w:t>
      </w:r>
      <w:r>
        <w:rPr>
          <w:rFonts w:ascii="Times New Roman" w:eastAsia="Calibri" w:hAnsi="Times New Roman" w:cs="Times New Roman"/>
          <w:sz w:val="24"/>
          <w:szCs w:val="24"/>
        </w:rPr>
        <w:t xml:space="preserve"> 124 in </w:t>
      </w:r>
      <w:r w:rsidR="005C1A88">
        <w:rPr>
          <w:rFonts w:ascii="Times New Roman" w:eastAsia="Calibri" w:hAnsi="Times New Roman" w:cs="Times New Roman"/>
          <w:sz w:val="24"/>
          <w:szCs w:val="24"/>
        </w:rPr>
        <w:t>as noted in the Bid Form and the Bid Details section.</w:t>
      </w:r>
      <w:r w:rsidR="0044689F" w:rsidRPr="002F624C">
        <w:rPr>
          <w:rFonts w:ascii="Times New Roman" w:eastAsia="Calibri" w:hAnsi="Times New Roman" w:cs="Times New Roman"/>
          <w:sz w:val="24"/>
          <w:szCs w:val="24"/>
        </w:rPr>
        <w:t xml:space="preserve"> </w:t>
      </w:r>
    </w:p>
    <w:p w14:paraId="32488853" w14:textId="144E01EF" w:rsidR="002F624C" w:rsidRDefault="00A55070" w:rsidP="00D53133">
      <w:pPr>
        <w:jc w:val="both"/>
        <w:rPr>
          <w:rFonts w:ascii="Times New Roman" w:eastAsia="Calibri" w:hAnsi="Times New Roman" w:cs="Times New Roman"/>
          <w:b/>
          <w:bCs/>
          <w:color w:val="000000"/>
          <w:sz w:val="24"/>
          <w:szCs w:val="24"/>
          <w:u w:val="single"/>
        </w:rPr>
      </w:pPr>
      <w:r w:rsidRPr="00A55070">
        <w:rPr>
          <w:rFonts w:ascii="Times New Roman" w:eastAsia="Calibri" w:hAnsi="Times New Roman" w:cs="Times New Roman"/>
          <w:sz w:val="24"/>
          <w:szCs w:val="24"/>
        </w:rPr>
        <w:t xml:space="preserve"> </w:t>
      </w:r>
    </w:p>
    <w:p w14:paraId="54DB260A" w14:textId="10193665" w:rsidR="00A55070" w:rsidRPr="00A55070" w:rsidRDefault="00A55070" w:rsidP="00A55070">
      <w:pPr>
        <w:autoSpaceDE w:val="0"/>
        <w:autoSpaceDN w:val="0"/>
        <w:adjustRightInd w:val="0"/>
        <w:spacing w:after="120" w:line="240" w:lineRule="auto"/>
        <w:jc w:val="center"/>
        <w:rPr>
          <w:rFonts w:ascii="Times New Roman" w:eastAsia="Calibri" w:hAnsi="Times New Roman" w:cs="Times New Roman"/>
          <w:b/>
          <w:bCs/>
          <w:color w:val="000000"/>
          <w:sz w:val="24"/>
          <w:szCs w:val="24"/>
          <w:u w:val="single"/>
        </w:rPr>
      </w:pPr>
      <w:r w:rsidRPr="00A55070">
        <w:rPr>
          <w:rFonts w:ascii="Times New Roman" w:eastAsia="Calibri" w:hAnsi="Times New Roman" w:cs="Times New Roman"/>
          <w:b/>
          <w:bCs/>
          <w:color w:val="000000"/>
          <w:sz w:val="24"/>
          <w:szCs w:val="24"/>
          <w:u w:val="single"/>
        </w:rPr>
        <w:t>Inquiries Concerning the Bid</w:t>
      </w:r>
    </w:p>
    <w:p w14:paraId="764F2838" w14:textId="77777777" w:rsidR="00A55070" w:rsidRPr="00A55070" w:rsidRDefault="00A55070" w:rsidP="00A55070">
      <w:pPr>
        <w:autoSpaceDE w:val="0"/>
        <w:autoSpaceDN w:val="0"/>
        <w:adjustRightInd w:val="0"/>
        <w:spacing w:after="120" w:line="240" w:lineRule="auto"/>
        <w:jc w:val="both"/>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Any questions or comments concerning this Invitation to Bid should be directed in writing to:</w:t>
      </w:r>
    </w:p>
    <w:p w14:paraId="55C6DD56" w14:textId="77777777" w:rsidR="00A55070" w:rsidRPr="00A55070" w:rsidRDefault="00A55070" w:rsidP="00A55070">
      <w:pPr>
        <w:autoSpaceDE w:val="0"/>
        <w:autoSpaceDN w:val="0"/>
        <w:adjustRightInd w:val="0"/>
        <w:spacing w:after="120" w:line="240" w:lineRule="auto"/>
        <w:jc w:val="both"/>
        <w:rPr>
          <w:rFonts w:ascii="Times New Roman" w:eastAsia="Calibri"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A55070" w:rsidRPr="00A55070" w14:paraId="55BDA12C" w14:textId="77777777" w:rsidTr="004B4BF5">
        <w:trPr>
          <w:jc w:val="center"/>
        </w:trPr>
        <w:tc>
          <w:tcPr>
            <w:tcW w:w="5310" w:type="dxa"/>
            <w:vAlign w:val="center"/>
          </w:tcPr>
          <w:p w14:paraId="492602C9" w14:textId="77777777" w:rsidR="00A55070" w:rsidRPr="00A55070" w:rsidRDefault="00A55070" w:rsidP="00A55070">
            <w:pPr>
              <w:autoSpaceDE w:val="0"/>
              <w:autoSpaceDN w:val="0"/>
              <w:adjustRightInd w:val="0"/>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William L. Vaughn</w:t>
            </w:r>
          </w:p>
          <w:p w14:paraId="5245AAFE" w14:textId="77777777" w:rsidR="00A55070" w:rsidRPr="00A55070" w:rsidRDefault="00A55070" w:rsidP="00A55070">
            <w:pPr>
              <w:autoSpaceDE w:val="0"/>
              <w:autoSpaceDN w:val="0"/>
              <w:adjustRightInd w:val="0"/>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Director of Community and Economic Development</w:t>
            </w:r>
          </w:p>
        </w:tc>
      </w:tr>
      <w:tr w:rsidR="00A55070" w:rsidRPr="00A55070" w14:paraId="464CB49B" w14:textId="77777777" w:rsidTr="004B4BF5">
        <w:trPr>
          <w:jc w:val="center"/>
        </w:trPr>
        <w:tc>
          <w:tcPr>
            <w:tcW w:w="5310" w:type="dxa"/>
            <w:vAlign w:val="center"/>
          </w:tcPr>
          <w:p w14:paraId="66DCF916" w14:textId="77777777" w:rsidR="00A55070" w:rsidRPr="00A55070" w:rsidRDefault="00A55070" w:rsidP="00A55070">
            <w:pPr>
              <w:autoSpaceDE w:val="0"/>
              <w:autoSpaceDN w:val="0"/>
              <w:adjustRightInd w:val="0"/>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City of Staunton, Virginia</w:t>
            </w:r>
          </w:p>
        </w:tc>
      </w:tr>
      <w:tr w:rsidR="00A55070" w:rsidRPr="00A55070" w14:paraId="72D2A97F" w14:textId="77777777" w:rsidTr="004B4BF5">
        <w:trPr>
          <w:jc w:val="center"/>
        </w:trPr>
        <w:tc>
          <w:tcPr>
            <w:tcW w:w="5310" w:type="dxa"/>
            <w:vAlign w:val="center"/>
          </w:tcPr>
          <w:p w14:paraId="07B98291" w14:textId="77777777" w:rsidR="00A55070" w:rsidRPr="00A55070" w:rsidRDefault="00A55070" w:rsidP="00A55070">
            <w:pPr>
              <w:autoSpaceDE w:val="0"/>
              <w:autoSpaceDN w:val="0"/>
              <w:adjustRightInd w:val="0"/>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P.O. Box 58</w:t>
            </w:r>
          </w:p>
        </w:tc>
      </w:tr>
      <w:tr w:rsidR="00A55070" w:rsidRPr="00A55070" w14:paraId="7C6BD086" w14:textId="77777777" w:rsidTr="004B4BF5">
        <w:trPr>
          <w:jc w:val="center"/>
        </w:trPr>
        <w:tc>
          <w:tcPr>
            <w:tcW w:w="5310" w:type="dxa"/>
            <w:vAlign w:val="center"/>
          </w:tcPr>
          <w:p w14:paraId="16BD6F84" w14:textId="77777777" w:rsidR="00A55070" w:rsidRPr="00A55070" w:rsidRDefault="00A55070" w:rsidP="00A55070">
            <w:pPr>
              <w:autoSpaceDE w:val="0"/>
              <w:autoSpaceDN w:val="0"/>
              <w:adjustRightInd w:val="0"/>
              <w:rPr>
                <w:rFonts w:ascii="Times New Roman" w:eastAsia="Calibri" w:hAnsi="Times New Roman" w:cs="Times New Roman"/>
                <w:color w:val="000000"/>
                <w:sz w:val="24"/>
                <w:szCs w:val="24"/>
              </w:rPr>
            </w:pPr>
            <w:r w:rsidRPr="00A55070">
              <w:rPr>
                <w:rFonts w:ascii="Times New Roman" w:eastAsia="Calibri" w:hAnsi="Times New Roman" w:cs="Times New Roman"/>
                <w:color w:val="000000"/>
                <w:sz w:val="24"/>
                <w:szCs w:val="24"/>
              </w:rPr>
              <w:t>Staunton, Virginia 24402-0058</w:t>
            </w:r>
          </w:p>
        </w:tc>
      </w:tr>
      <w:tr w:rsidR="00A55070" w:rsidRPr="00A55070" w14:paraId="57A66C54" w14:textId="77777777" w:rsidTr="004B4BF5">
        <w:trPr>
          <w:jc w:val="center"/>
        </w:trPr>
        <w:tc>
          <w:tcPr>
            <w:tcW w:w="5310" w:type="dxa"/>
            <w:vAlign w:val="center"/>
          </w:tcPr>
          <w:p w14:paraId="4F2BA003" w14:textId="77777777" w:rsidR="00A55070" w:rsidRPr="00A55070" w:rsidRDefault="00A55070" w:rsidP="00A55070">
            <w:pPr>
              <w:autoSpaceDE w:val="0"/>
              <w:autoSpaceDN w:val="0"/>
              <w:adjustRightInd w:val="0"/>
              <w:rPr>
                <w:rFonts w:ascii="Times New Roman" w:eastAsia="Calibri" w:hAnsi="Times New Roman" w:cs="Times New Roman"/>
                <w:sz w:val="24"/>
                <w:szCs w:val="24"/>
                <w:u w:val="single"/>
              </w:rPr>
            </w:pPr>
            <w:r w:rsidRPr="00A55070">
              <w:rPr>
                <w:rFonts w:ascii="Times New Roman" w:eastAsia="Calibri" w:hAnsi="Times New Roman" w:cs="Times New Roman"/>
                <w:sz w:val="24"/>
                <w:szCs w:val="24"/>
                <w:u w:val="single"/>
              </w:rPr>
              <w:t>vaughnwl@ci.staunton.va.us</w:t>
            </w:r>
          </w:p>
        </w:tc>
      </w:tr>
    </w:tbl>
    <w:p w14:paraId="2904EBFF" w14:textId="2D40BBBA" w:rsidR="00D90AA2" w:rsidRDefault="00D90AA2" w:rsidP="001D37E5">
      <w:pPr>
        <w:pBdr>
          <w:bottom w:val="single" w:sz="4" w:space="1" w:color="auto"/>
        </w:pBdr>
      </w:pPr>
    </w:p>
    <w:p w14:paraId="5AB639C4" w14:textId="77777777" w:rsidR="00C14EFF" w:rsidRDefault="00C14EFF" w:rsidP="001D37E5">
      <w:pPr>
        <w:pBdr>
          <w:bottom w:val="single" w:sz="4" w:space="1" w:color="auto"/>
        </w:pBdr>
      </w:pPr>
    </w:p>
    <w:p w14:paraId="47A9F580" w14:textId="77777777" w:rsidR="0005031A" w:rsidRPr="0077616C" w:rsidRDefault="0005031A" w:rsidP="0005031A">
      <w:pPr>
        <w:jc w:val="both"/>
        <w:rPr>
          <w:rFonts w:ascii="Times New Roman" w:hAnsi="Times New Roman" w:cs="Times New Roman"/>
          <w:b/>
          <w:bCs/>
          <w:i/>
          <w:sz w:val="24"/>
        </w:rPr>
      </w:pPr>
      <w:r w:rsidRPr="0077616C">
        <w:rPr>
          <w:rFonts w:ascii="Times New Roman" w:hAnsi="Times New Roman" w:cs="Times New Roman"/>
          <w:b/>
          <w:bCs/>
          <w:i/>
          <w:sz w:val="24"/>
        </w:rPr>
        <w:t>Note: A signed acknowledgement of this addendum must be received by this office prior to</w:t>
      </w:r>
      <w:r w:rsidRPr="0077616C">
        <w:rPr>
          <w:rFonts w:ascii="Times New Roman" w:hAnsi="Times New Roman" w:cs="Times New Roman"/>
          <w:b/>
          <w:bCs/>
          <w:i/>
          <w:sz w:val="24"/>
        </w:rPr>
        <w:br/>
        <w:t>the due date and time, or must be attached to your bid. Signature on this addendum does</w:t>
      </w:r>
      <w:r w:rsidRPr="0077616C">
        <w:rPr>
          <w:rFonts w:ascii="Times New Roman" w:hAnsi="Times New Roman" w:cs="Times New Roman"/>
          <w:b/>
          <w:bCs/>
          <w:i/>
          <w:sz w:val="24"/>
        </w:rPr>
        <w:br/>
        <w:t>not constitute signature on the original bid document. The original bid document must</w:t>
      </w:r>
      <w:r w:rsidRPr="0077616C">
        <w:rPr>
          <w:rFonts w:ascii="Times New Roman" w:hAnsi="Times New Roman" w:cs="Times New Roman"/>
          <w:b/>
          <w:bCs/>
          <w:i/>
          <w:sz w:val="24"/>
        </w:rPr>
        <w:br/>
        <w:t>also be signed per bid instructions.</w:t>
      </w:r>
    </w:p>
    <w:p w14:paraId="040BFB73" w14:textId="77777777" w:rsidR="0005031A" w:rsidRPr="001D37E5" w:rsidRDefault="0005031A" w:rsidP="002F3157">
      <w:pPr>
        <w:rPr>
          <w:rFonts w:ascii="Times New Roman" w:hAnsi="Times New Roman" w:cs="Times New Roman"/>
        </w:rPr>
      </w:pPr>
    </w:p>
    <w:p w14:paraId="3D6241F3" w14:textId="3FCF0552" w:rsidR="0005031A" w:rsidRPr="0077616C" w:rsidRDefault="0005031A" w:rsidP="002F3157">
      <w:pPr>
        <w:spacing w:line="480" w:lineRule="auto"/>
        <w:rPr>
          <w:rFonts w:ascii="Times New Roman" w:hAnsi="Times New Roman" w:cs="Times New Roman"/>
          <w:sz w:val="24"/>
        </w:rPr>
      </w:pPr>
      <w:r w:rsidRPr="0077616C">
        <w:rPr>
          <w:rFonts w:ascii="Times New Roman" w:hAnsi="Times New Roman" w:cs="Times New Roman"/>
          <w:sz w:val="24"/>
        </w:rPr>
        <w:t>Company Name: _________________________________</w:t>
      </w:r>
      <w:r w:rsidRPr="0077616C">
        <w:rPr>
          <w:rFonts w:ascii="Times New Roman" w:hAnsi="Times New Roman" w:cs="Times New Roman"/>
          <w:sz w:val="24"/>
        </w:rPr>
        <w:br/>
        <w:t>Signature: _________________________________</w:t>
      </w:r>
      <w:r w:rsidRPr="0077616C">
        <w:rPr>
          <w:rFonts w:ascii="Times New Roman" w:hAnsi="Times New Roman" w:cs="Times New Roman"/>
          <w:sz w:val="24"/>
        </w:rPr>
        <w:br/>
        <w:t>Type/Print Name: _________________________________</w:t>
      </w:r>
      <w:r w:rsidRPr="0077616C">
        <w:rPr>
          <w:rFonts w:ascii="Times New Roman" w:hAnsi="Times New Roman" w:cs="Times New Roman"/>
          <w:sz w:val="24"/>
        </w:rPr>
        <w:br/>
        <w:t>Title: _________________________________</w:t>
      </w:r>
      <w:r w:rsidRPr="0077616C">
        <w:rPr>
          <w:rFonts w:ascii="Times New Roman" w:hAnsi="Times New Roman" w:cs="Times New Roman"/>
          <w:sz w:val="24"/>
        </w:rPr>
        <w:br/>
        <w:t>Date: _______________________</w:t>
      </w:r>
    </w:p>
    <w:p w14:paraId="276E8785" w14:textId="77777777" w:rsidR="0005031A" w:rsidRDefault="0005031A"/>
    <w:sectPr w:rsidR="0005031A" w:rsidSect="008715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6084C" w14:textId="77777777" w:rsidR="003E091A" w:rsidRDefault="003E091A" w:rsidP="003E091A">
      <w:pPr>
        <w:spacing w:after="0" w:line="240" w:lineRule="auto"/>
      </w:pPr>
      <w:r>
        <w:separator/>
      </w:r>
    </w:p>
  </w:endnote>
  <w:endnote w:type="continuationSeparator" w:id="0">
    <w:p w14:paraId="4CE323F4" w14:textId="77777777" w:rsidR="003E091A" w:rsidRDefault="003E091A" w:rsidP="003E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iCs/>
      </w:rPr>
      <w:id w:val="-1998948242"/>
      <w:docPartObj>
        <w:docPartGallery w:val="Page Numbers (Bottom of Page)"/>
        <w:docPartUnique/>
      </w:docPartObj>
    </w:sdtPr>
    <w:sdtEndPr/>
    <w:sdtContent>
      <w:sdt>
        <w:sdtPr>
          <w:rPr>
            <w:rFonts w:ascii="Times New Roman" w:hAnsi="Times New Roman" w:cs="Times New Roman"/>
            <w:i/>
            <w:iCs/>
          </w:rPr>
          <w:id w:val="-1705238520"/>
          <w:docPartObj>
            <w:docPartGallery w:val="Page Numbers (Top of Page)"/>
            <w:docPartUnique/>
          </w:docPartObj>
        </w:sdtPr>
        <w:sdtEndPr/>
        <w:sdtContent>
          <w:p w14:paraId="45166B40" w14:textId="689BE842" w:rsidR="003E091A" w:rsidRPr="003E091A" w:rsidRDefault="003E091A" w:rsidP="003E091A">
            <w:pPr>
              <w:pStyle w:val="Footer"/>
              <w:jc w:val="right"/>
              <w:rPr>
                <w:rFonts w:ascii="Times New Roman" w:hAnsi="Times New Roman" w:cs="Times New Roman"/>
                <w:i/>
                <w:iCs/>
              </w:rPr>
            </w:pPr>
            <w:r w:rsidRPr="003E091A">
              <w:rPr>
                <w:rFonts w:ascii="Times New Roman" w:hAnsi="Times New Roman" w:cs="Times New Roman"/>
                <w:i/>
                <w:iCs/>
              </w:rPr>
              <w:t xml:space="preserve">Page </w:t>
            </w:r>
            <w:r w:rsidRPr="003E091A">
              <w:rPr>
                <w:rFonts w:ascii="Times New Roman" w:hAnsi="Times New Roman" w:cs="Times New Roman"/>
                <w:i/>
                <w:iCs/>
                <w:sz w:val="24"/>
                <w:szCs w:val="24"/>
              </w:rPr>
              <w:fldChar w:fldCharType="begin"/>
            </w:r>
            <w:r w:rsidRPr="003E091A">
              <w:rPr>
                <w:rFonts w:ascii="Times New Roman" w:hAnsi="Times New Roman" w:cs="Times New Roman"/>
                <w:i/>
                <w:iCs/>
              </w:rPr>
              <w:instrText xml:space="preserve"> PAGE </w:instrText>
            </w:r>
            <w:r w:rsidRPr="003E091A">
              <w:rPr>
                <w:rFonts w:ascii="Times New Roman" w:hAnsi="Times New Roman" w:cs="Times New Roman"/>
                <w:i/>
                <w:iCs/>
                <w:sz w:val="24"/>
                <w:szCs w:val="24"/>
              </w:rPr>
              <w:fldChar w:fldCharType="separate"/>
            </w:r>
            <w:r w:rsidR="005C1A88">
              <w:rPr>
                <w:rFonts w:ascii="Times New Roman" w:hAnsi="Times New Roman" w:cs="Times New Roman"/>
                <w:i/>
                <w:iCs/>
                <w:noProof/>
              </w:rPr>
              <w:t>6</w:t>
            </w:r>
            <w:r w:rsidRPr="003E091A">
              <w:rPr>
                <w:rFonts w:ascii="Times New Roman" w:hAnsi="Times New Roman" w:cs="Times New Roman"/>
                <w:i/>
                <w:iCs/>
                <w:sz w:val="24"/>
                <w:szCs w:val="24"/>
              </w:rPr>
              <w:fldChar w:fldCharType="end"/>
            </w:r>
            <w:r w:rsidRPr="003E091A">
              <w:rPr>
                <w:rFonts w:ascii="Times New Roman" w:hAnsi="Times New Roman" w:cs="Times New Roman"/>
                <w:i/>
                <w:iCs/>
              </w:rPr>
              <w:t xml:space="preserve"> of </w:t>
            </w:r>
            <w:r w:rsidRPr="003E091A">
              <w:rPr>
                <w:rFonts w:ascii="Times New Roman" w:hAnsi="Times New Roman" w:cs="Times New Roman"/>
                <w:i/>
                <w:iCs/>
                <w:sz w:val="24"/>
                <w:szCs w:val="24"/>
              </w:rPr>
              <w:fldChar w:fldCharType="begin"/>
            </w:r>
            <w:r w:rsidRPr="003E091A">
              <w:rPr>
                <w:rFonts w:ascii="Times New Roman" w:hAnsi="Times New Roman" w:cs="Times New Roman"/>
                <w:i/>
                <w:iCs/>
              </w:rPr>
              <w:instrText xml:space="preserve"> NUMPAGES  </w:instrText>
            </w:r>
            <w:r w:rsidRPr="003E091A">
              <w:rPr>
                <w:rFonts w:ascii="Times New Roman" w:hAnsi="Times New Roman" w:cs="Times New Roman"/>
                <w:i/>
                <w:iCs/>
                <w:sz w:val="24"/>
                <w:szCs w:val="24"/>
              </w:rPr>
              <w:fldChar w:fldCharType="separate"/>
            </w:r>
            <w:r w:rsidR="005C1A88">
              <w:rPr>
                <w:rFonts w:ascii="Times New Roman" w:hAnsi="Times New Roman" w:cs="Times New Roman"/>
                <w:i/>
                <w:iCs/>
                <w:noProof/>
              </w:rPr>
              <w:t>6</w:t>
            </w:r>
            <w:r w:rsidRPr="003E091A">
              <w:rPr>
                <w:rFonts w:ascii="Times New Roman" w:hAnsi="Times New Roman" w:cs="Times New Roman"/>
                <w:i/>
                <w:iCs/>
                <w:sz w:val="24"/>
                <w:szCs w:val="24"/>
              </w:rPr>
              <w:fldChar w:fldCharType="end"/>
            </w:r>
          </w:p>
        </w:sdtContent>
      </w:sdt>
    </w:sdtContent>
  </w:sdt>
  <w:p w14:paraId="61134AD0" w14:textId="77777777" w:rsidR="003E091A" w:rsidRDefault="003E0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EC384" w14:textId="77777777" w:rsidR="003E091A" w:rsidRDefault="003E091A" w:rsidP="003E091A">
      <w:pPr>
        <w:spacing w:after="0" w:line="240" w:lineRule="auto"/>
      </w:pPr>
      <w:r>
        <w:separator/>
      </w:r>
    </w:p>
  </w:footnote>
  <w:footnote w:type="continuationSeparator" w:id="0">
    <w:p w14:paraId="77D960B4" w14:textId="77777777" w:rsidR="003E091A" w:rsidRDefault="003E091A" w:rsidP="003E0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FE"/>
    <w:multiLevelType w:val="hybridMultilevel"/>
    <w:tmpl w:val="ABA0C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027C"/>
    <w:multiLevelType w:val="hybridMultilevel"/>
    <w:tmpl w:val="201AD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75FD6"/>
    <w:multiLevelType w:val="hybridMultilevel"/>
    <w:tmpl w:val="D50C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26BB"/>
    <w:multiLevelType w:val="hybridMultilevel"/>
    <w:tmpl w:val="3EBC2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A781B"/>
    <w:multiLevelType w:val="hybridMultilevel"/>
    <w:tmpl w:val="4C06D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B1357"/>
    <w:multiLevelType w:val="hybridMultilevel"/>
    <w:tmpl w:val="13864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D12FD"/>
    <w:multiLevelType w:val="hybridMultilevel"/>
    <w:tmpl w:val="42C4C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70"/>
    <w:rsid w:val="0005031A"/>
    <w:rsid w:val="000D3360"/>
    <w:rsid w:val="000E5650"/>
    <w:rsid w:val="00113B2B"/>
    <w:rsid w:val="0011633D"/>
    <w:rsid w:val="00130CEF"/>
    <w:rsid w:val="00151576"/>
    <w:rsid w:val="00151809"/>
    <w:rsid w:val="001753AD"/>
    <w:rsid w:val="001D37E5"/>
    <w:rsid w:val="00200253"/>
    <w:rsid w:val="0026507D"/>
    <w:rsid w:val="002724AC"/>
    <w:rsid w:val="002944B1"/>
    <w:rsid w:val="002A23A0"/>
    <w:rsid w:val="002A434D"/>
    <w:rsid w:val="002F3157"/>
    <w:rsid w:val="002F624C"/>
    <w:rsid w:val="003023C1"/>
    <w:rsid w:val="003102DD"/>
    <w:rsid w:val="003529C3"/>
    <w:rsid w:val="00387C29"/>
    <w:rsid w:val="003E091A"/>
    <w:rsid w:val="00410D7F"/>
    <w:rsid w:val="004368FB"/>
    <w:rsid w:val="00441712"/>
    <w:rsid w:val="0044689F"/>
    <w:rsid w:val="00453764"/>
    <w:rsid w:val="004A3C89"/>
    <w:rsid w:val="004A5E55"/>
    <w:rsid w:val="004B4DE6"/>
    <w:rsid w:val="004C5180"/>
    <w:rsid w:val="004D54BF"/>
    <w:rsid w:val="004E28D5"/>
    <w:rsid w:val="00517DC6"/>
    <w:rsid w:val="0053632D"/>
    <w:rsid w:val="0054619F"/>
    <w:rsid w:val="0059438C"/>
    <w:rsid w:val="00595DDA"/>
    <w:rsid w:val="005A1550"/>
    <w:rsid w:val="005C1A88"/>
    <w:rsid w:val="005D3DCD"/>
    <w:rsid w:val="005E1607"/>
    <w:rsid w:val="00636799"/>
    <w:rsid w:val="006607D6"/>
    <w:rsid w:val="00661E58"/>
    <w:rsid w:val="00693381"/>
    <w:rsid w:val="0072044B"/>
    <w:rsid w:val="00771E32"/>
    <w:rsid w:val="0077616C"/>
    <w:rsid w:val="007838CB"/>
    <w:rsid w:val="007A4BB1"/>
    <w:rsid w:val="00804311"/>
    <w:rsid w:val="00813908"/>
    <w:rsid w:val="00871515"/>
    <w:rsid w:val="00876A05"/>
    <w:rsid w:val="008C409F"/>
    <w:rsid w:val="008D5235"/>
    <w:rsid w:val="00900909"/>
    <w:rsid w:val="00942969"/>
    <w:rsid w:val="009577D3"/>
    <w:rsid w:val="009E7A01"/>
    <w:rsid w:val="00A47118"/>
    <w:rsid w:val="00A55070"/>
    <w:rsid w:val="00A64F61"/>
    <w:rsid w:val="00A90309"/>
    <w:rsid w:val="00AA61D8"/>
    <w:rsid w:val="00B03765"/>
    <w:rsid w:val="00B66EA6"/>
    <w:rsid w:val="00B7012B"/>
    <w:rsid w:val="00BA4F43"/>
    <w:rsid w:val="00C14301"/>
    <w:rsid w:val="00C14EFF"/>
    <w:rsid w:val="00C2455A"/>
    <w:rsid w:val="00C56AB0"/>
    <w:rsid w:val="00C97F2B"/>
    <w:rsid w:val="00CC57E7"/>
    <w:rsid w:val="00D3669D"/>
    <w:rsid w:val="00D53133"/>
    <w:rsid w:val="00D90AA2"/>
    <w:rsid w:val="00DB4B3B"/>
    <w:rsid w:val="00DC2A5F"/>
    <w:rsid w:val="00DD2D58"/>
    <w:rsid w:val="00E269B0"/>
    <w:rsid w:val="00E538CB"/>
    <w:rsid w:val="00E70585"/>
    <w:rsid w:val="00E776D2"/>
    <w:rsid w:val="00E944D3"/>
    <w:rsid w:val="00EA2BBA"/>
    <w:rsid w:val="00EB6FE7"/>
    <w:rsid w:val="00FA0FB4"/>
    <w:rsid w:val="00FA4C3B"/>
    <w:rsid w:val="00FB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EA4B"/>
  <w15:chartTrackingRefBased/>
  <w15:docId w15:val="{44182481-15F2-4171-9C5A-1AA9083E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24C"/>
    <w:pPr>
      <w:ind w:left="720"/>
      <w:contextualSpacing/>
    </w:pPr>
  </w:style>
  <w:style w:type="character" w:styleId="Hyperlink">
    <w:name w:val="Hyperlink"/>
    <w:basedOn w:val="DefaultParagraphFont"/>
    <w:uiPriority w:val="99"/>
    <w:unhideWhenUsed/>
    <w:rsid w:val="00517DC6"/>
    <w:rPr>
      <w:color w:val="0563C1" w:themeColor="hyperlink"/>
      <w:u w:val="single"/>
    </w:rPr>
  </w:style>
  <w:style w:type="character" w:customStyle="1" w:styleId="UnresolvedMention1">
    <w:name w:val="Unresolved Mention1"/>
    <w:basedOn w:val="DefaultParagraphFont"/>
    <w:uiPriority w:val="99"/>
    <w:semiHidden/>
    <w:unhideWhenUsed/>
    <w:rsid w:val="00517DC6"/>
    <w:rPr>
      <w:color w:val="605E5C"/>
      <w:shd w:val="clear" w:color="auto" w:fill="E1DFDD"/>
    </w:rPr>
  </w:style>
  <w:style w:type="paragraph" w:styleId="Header">
    <w:name w:val="header"/>
    <w:basedOn w:val="Normal"/>
    <w:link w:val="HeaderChar"/>
    <w:uiPriority w:val="99"/>
    <w:unhideWhenUsed/>
    <w:rsid w:val="003E0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91A"/>
  </w:style>
  <w:style w:type="paragraph" w:styleId="Footer">
    <w:name w:val="footer"/>
    <w:basedOn w:val="Normal"/>
    <w:link w:val="FooterChar"/>
    <w:uiPriority w:val="99"/>
    <w:unhideWhenUsed/>
    <w:rsid w:val="003E0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taunton.va.us/Home/Components/RFP/RFP/123/150" TargetMode="External"/><Relationship Id="rId3" Type="http://schemas.openxmlformats.org/officeDocument/2006/relationships/settings" Target="settings.xml"/><Relationship Id="rId7" Type="http://schemas.openxmlformats.org/officeDocument/2006/relationships/hyperlink" Target="https://m.vendor.epro.cgipdc.com/Vendor/public/VBODetails.jsp?DOC_CD=IFB&amp;DEPT_CD=LA35&amp;BID_INTRNL_NO=152485&amp;BID_NO=I00219&amp;BID_VERS_N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Vaughn</dc:creator>
  <cp:keywords/>
  <dc:description/>
  <cp:lastModifiedBy>Adrienne D. Hammel</cp:lastModifiedBy>
  <cp:revision>43</cp:revision>
  <cp:lastPrinted>2019-09-20T17:55:00Z</cp:lastPrinted>
  <dcterms:created xsi:type="dcterms:W3CDTF">2019-10-03T14:11:00Z</dcterms:created>
  <dcterms:modified xsi:type="dcterms:W3CDTF">2019-10-04T20:10:00Z</dcterms:modified>
</cp:coreProperties>
</file>